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91A8C" w:rsidRPr="00337F32" w:rsidP="00C82AA2" w14:paraId="5DC1EE74" w14:textId="6F22ABC1">
      <w:pPr>
        <w:pBdr>
          <w:top w:val="nil"/>
          <w:left w:val="nil"/>
          <w:bottom w:val="nil"/>
          <w:right w:val="nil"/>
          <w:between w:val="nil"/>
        </w:pBdr>
        <w:spacing w:line="480" w:lineRule="auto"/>
        <w:jc w:val="center"/>
        <w:rPr>
          <w:b/>
          <w:color w:val="000000"/>
        </w:rPr>
      </w:pPr>
      <w:r w:rsidRPr="00337F32">
        <w:rPr>
          <w:b/>
          <w:color w:val="000000"/>
        </w:rPr>
        <w:t>Chapter One: Introduction (edited)</w:t>
      </w:r>
    </w:p>
    <w:p w:rsidR="00191A8C" w:rsidRPr="00337F32" w:rsidP="00337F32" w14:paraId="73E5D172" w14:textId="77777777">
      <w:pPr>
        <w:pBdr>
          <w:top w:val="nil"/>
          <w:left w:val="nil"/>
          <w:bottom w:val="nil"/>
          <w:right w:val="nil"/>
          <w:between w:val="nil"/>
        </w:pBdr>
        <w:spacing w:after="160" w:line="480" w:lineRule="auto"/>
        <w:rPr>
          <w:b/>
          <w:color w:val="000000"/>
        </w:rPr>
      </w:pPr>
      <w:r w:rsidRPr="00337F32">
        <w:rPr>
          <w:b/>
          <w:color w:val="000000"/>
        </w:rPr>
        <w:t>Changing Dynamics in Higher Education</w:t>
      </w:r>
    </w:p>
    <w:p w:rsidR="00191A8C" w:rsidRPr="00337F32" w:rsidP="00337F32" w14:paraId="52A1058A" w14:textId="1D62B767">
      <w:pPr>
        <w:spacing w:line="480" w:lineRule="auto"/>
      </w:pPr>
      <w:r>
        <w:rPr>
          <w:color w:val="000000"/>
        </w:rPr>
        <w:tab/>
      </w:r>
      <w:r w:rsidRPr="00C82AA2" w:rsidR="00091AAC">
        <w:rPr>
          <w:color w:val="000000"/>
        </w:rPr>
        <w:t xml:space="preserve">Higher education institutions are facing several formidable challenges in student enrollment. Dwindling numbers is </w:t>
      </w:r>
      <w:r w:rsidRPr="00C82AA2" w:rsidR="00E71CCC">
        <w:rPr>
          <w:color w:val="000000"/>
        </w:rPr>
        <w:t>probably at</w:t>
      </w:r>
      <w:r w:rsidRPr="00C82AA2" w:rsidR="00091AAC">
        <w:rPr>
          <w:color w:val="000000"/>
        </w:rPr>
        <w:t xml:space="preserve"> the root of these challenges. Fewer high school graduates are choosing to get a college education, and institutions are forced to compete </w:t>
      </w:r>
      <w:r w:rsidRPr="00C82AA2">
        <w:rPr>
          <w:color w:val="000000"/>
        </w:rPr>
        <w:t>for lower numbers of applicants</w:t>
      </w:r>
      <w:r>
        <w:rPr>
          <w:b/>
          <w:color w:val="000000"/>
        </w:rPr>
        <w:t xml:space="preserve"> </w:t>
      </w:r>
      <w:r w:rsidRPr="00337F32" w:rsidR="00091AAC">
        <w:rPr>
          <w:color w:val="000000"/>
          <w:highlight w:val="white"/>
        </w:rPr>
        <w:t>(</w:t>
      </w:r>
      <w:r w:rsidRPr="00337F32" w:rsidR="003440B1">
        <w:t>Cummings et al., 2015</w:t>
      </w:r>
      <w:r w:rsidRPr="00337F32" w:rsidR="00091AAC">
        <w:rPr>
          <w:color w:val="000000"/>
          <w:highlight w:val="white"/>
        </w:rPr>
        <w:t>)</w:t>
      </w:r>
      <w:r w:rsidRPr="00337F32" w:rsidR="00091AAC">
        <w:rPr>
          <w:color w:val="000000"/>
        </w:rPr>
        <w:t xml:space="preserve">. More and more, high school graduates </w:t>
      </w:r>
      <w:r w:rsidRPr="00337F32" w:rsidR="00E71CCC">
        <w:rPr>
          <w:color w:val="000000"/>
        </w:rPr>
        <w:t>are postponing</w:t>
      </w:r>
      <w:r w:rsidRPr="00337F32" w:rsidR="00091AAC">
        <w:rPr>
          <w:color w:val="000000"/>
        </w:rPr>
        <w:t xml:space="preserve"> college for a variety of reasons. Reasons run the gamut from personal concerns such as childcare in an expanding family to a desire to explore the world in a gap year. However, the main reasons for decreases in student enrollment in college seem to be the rising costs for a college education, coupled with decreased availability of government </w:t>
      </w:r>
      <w:r w:rsidRPr="00337F32" w:rsidR="00091AAC">
        <w:rPr>
          <w:color w:val="000000"/>
        </w:rPr>
        <w:t>funding</w:t>
      </w:r>
      <w:r w:rsidRPr="00337F32" w:rsidR="00091AAC">
        <w:rPr>
          <w:color w:val="000000"/>
        </w:rPr>
        <w:t>.</w:t>
      </w:r>
      <w:r w:rsidRPr="00337F32" w:rsidR="00091AAC">
        <w:rPr>
          <w:color w:val="000000"/>
          <w:highlight w:val="white"/>
        </w:rPr>
        <w:t xml:space="preserve"> </w:t>
      </w:r>
      <w:r w:rsidRPr="00337F32" w:rsidR="00091AAC">
        <w:rPr>
          <w:color w:val="000000"/>
        </w:rPr>
        <w:t xml:space="preserve"> </w:t>
      </w:r>
    </w:p>
    <w:p w:rsidR="00191A8C" w:rsidRPr="00337F32" w:rsidP="00337F32" w14:paraId="065E542E" w14:textId="684A3390">
      <w:pPr>
        <w:spacing w:line="480" w:lineRule="auto"/>
      </w:pPr>
      <w:r w:rsidRPr="00337F32">
        <w:t>This downward</w:t>
      </w:r>
      <w:r w:rsidRPr="00337F32">
        <w:rPr>
          <w:color w:val="000000"/>
        </w:rPr>
        <w:t xml:space="preserve"> trend in government funding of higher education can be tracked in the decade following the Great Recession. Some have labeled this period as the lowest point in the history of funding for higher </w:t>
      </w:r>
      <w:r w:rsidRPr="00337F32" w:rsidR="00E71CCC">
        <w:rPr>
          <w:color w:val="000000"/>
        </w:rPr>
        <w:t xml:space="preserve">education </w:t>
      </w:r>
      <w:r w:rsidRPr="00337F32" w:rsidR="00E71CCC">
        <w:rPr>
          <w:rFonts w:eastAsia="Calibri"/>
          <w:color w:val="000000"/>
        </w:rPr>
        <w:t>(</w:t>
      </w:r>
      <w:r w:rsidRPr="00337F32" w:rsidR="003440B1">
        <w:t>Robert et al., 2019</w:t>
      </w:r>
      <w:r w:rsidRPr="00337F32">
        <w:rPr>
          <w:color w:val="000000"/>
        </w:rPr>
        <w:t xml:space="preserve">). This period has earned this designation, despite some increased allocations to public colleges and universities. For example, in the 2016-17 school </w:t>
      </w:r>
      <w:r w:rsidRPr="00337F32">
        <w:rPr>
          <w:color w:val="000000"/>
        </w:rPr>
        <w:t>year</w:t>
      </w:r>
      <w:r w:rsidRPr="00337F32">
        <w:rPr>
          <w:color w:val="000000"/>
        </w:rPr>
        <w:t xml:space="preserve">, there was a $9 billion decrease from the 2008 allocation of funds to public higher learning (Online Learning Consortium, 2017). Even </w:t>
      </w:r>
      <w:r w:rsidRPr="00337F32" w:rsidR="005316FF">
        <w:rPr>
          <w:color w:val="000000"/>
        </w:rPr>
        <w:t>though society</w:t>
      </w:r>
      <w:r w:rsidRPr="00337F32">
        <w:rPr>
          <w:color w:val="000000"/>
        </w:rPr>
        <w:t xml:space="preserve"> has </w:t>
      </w:r>
      <w:r w:rsidRPr="00337F32" w:rsidR="00E71CCC">
        <w:rPr>
          <w:color w:val="000000"/>
        </w:rPr>
        <w:t>generally touted the</w:t>
      </w:r>
      <w:r w:rsidRPr="00337F32">
        <w:rPr>
          <w:color w:val="000000"/>
        </w:rPr>
        <w:t xml:space="preserve"> value of higher education, state legislators have continued to </w:t>
      </w:r>
      <w:r w:rsidRPr="00337F32" w:rsidR="00E71CCC">
        <w:rPr>
          <w:color w:val="000000"/>
        </w:rPr>
        <w:t>create hurdles</w:t>
      </w:r>
      <w:r w:rsidRPr="00337F32">
        <w:rPr>
          <w:color w:val="000000"/>
        </w:rPr>
        <w:t>, making higher education less accessible and more expensive, and even more so for disadvantaged students (</w:t>
      </w:r>
      <w:r w:rsidRPr="00337F32">
        <w:rPr>
          <w:color w:val="000000"/>
          <w:highlight w:val="white"/>
        </w:rPr>
        <w:t>Bryson, 2016).</w:t>
      </w:r>
      <w:r w:rsidRPr="00337F32">
        <w:rPr>
          <w:rFonts w:eastAsia="Calibri"/>
          <w:color w:val="000000"/>
        </w:rPr>
        <w:t xml:space="preserve"> </w:t>
      </w:r>
      <w:r w:rsidRPr="00337F32">
        <w:rPr>
          <w:color w:val="000000"/>
        </w:rPr>
        <w:t>Perhaps the most damaging impact would be loss of opportunities for higher education to a larger segment of society, in an age when education is more necessary than ever before.</w:t>
      </w:r>
    </w:p>
    <w:p w:rsidR="00191A8C" w:rsidRPr="00337F32" w:rsidP="00337F32" w14:paraId="6BD02267" w14:textId="22740DFB">
      <w:pPr>
        <w:pBdr>
          <w:top w:val="nil"/>
          <w:left w:val="nil"/>
          <w:bottom w:val="nil"/>
          <w:right w:val="nil"/>
          <w:between w:val="nil"/>
        </w:pBdr>
        <w:spacing w:after="160" w:line="480" w:lineRule="auto"/>
        <w:ind w:firstLine="720"/>
        <w:rPr>
          <w:color w:val="000000"/>
        </w:rPr>
      </w:pPr>
      <w:r w:rsidRPr="00337F32">
        <w:rPr>
          <w:color w:val="000000"/>
        </w:rPr>
        <w:t xml:space="preserve"> These cutbacks to available educational financial aid in the government funding </w:t>
      </w:r>
      <w:r w:rsidRPr="00337F32" w:rsidR="00E71CCC">
        <w:rPr>
          <w:color w:val="000000"/>
        </w:rPr>
        <w:t>structure have</w:t>
      </w:r>
      <w:r w:rsidRPr="00337F32">
        <w:rPr>
          <w:color w:val="000000"/>
        </w:rPr>
        <w:t xml:space="preserve"> </w:t>
      </w:r>
      <w:r w:rsidRPr="00337F32" w:rsidR="00E71CCC">
        <w:rPr>
          <w:color w:val="000000"/>
        </w:rPr>
        <w:t>forced many</w:t>
      </w:r>
      <w:r w:rsidRPr="00337F32">
        <w:rPr>
          <w:color w:val="000000"/>
        </w:rPr>
        <w:t xml:space="preserve"> would be candidates for higher education to delay enrollment. Another </w:t>
      </w:r>
      <w:r w:rsidRPr="00337F32" w:rsidR="00E71CCC">
        <w:rPr>
          <w:color w:val="000000"/>
        </w:rPr>
        <w:t xml:space="preserve">option </w:t>
      </w:r>
      <w:r w:rsidRPr="00337F32" w:rsidR="00E71CCC">
        <w:rPr>
          <w:color w:val="000000"/>
        </w:rPr>
        <w:t>has</w:t>
      </w:r>
      <w:r w:rsidRPr="00337F32">
        <w:rPr>
          <w:color w:val="000000"/>
        </w:rPr>
        <w:t xml:space="preserve"> been to significantly compromise the overall education experience by combining it with a </w:t>
      </w:r>
      <w:r w:rsidRPr="00337F32" w:rsidR="00E71CCC">
        <w:rPr>
          <w:color w:val="000000"/>
        </w:rPr>
        <w:t>full-time</w:t>
      </w:r>
      <w:r w:rsidRPr="00337F32">
        <w:rPr>
          <w:color w:val="000000"/>
        </w:rPr>
        <w:t xml:space="preserve"> </w:t>
      </w:r>
      <w:r w:rsidRPr="00337F32" w:rsidR="00E71CCC">
        <w:rPr>
          <w:color w:val="000000"/>
        </w:rPr>
        <w:t>job (</w:t>
      </w:r>
      <w:r w:rsidRPr="00337F32">
        <w:rPr>
          <w:color w:val="000000"/>
          <w:highlight w:val="white"/>
        </w:rPr>
        <w:t xml:space="preserve">Broadbent &amp; Poon, 2015). However, like it or not, educational </w:t>
      </w:r>
      <w:r w:rsidRPr="00337F32" w:rsidR="00E71CCC">
        <w:rPr>
          <w:color w:val="000000"/>
        </w:rPr>
        <w:t>institutions will</w:t>
      </w:r>
      <w:r w:rsidRPr="00337F32">
        <w:rPr>
          <w:color w:val="000000"/>
        </w:rPr>
        <w:t xml:space="preserve"> inevitably have to make changes— changes that will meet the needs of this new financially challenged student population. If changes are not made, perhaps the most damaging impact would be loss of opportunities for higher education to a larger segment of society, in an age when education is more necessary than ever before. </w:t>
      </w:r>
    </w:p>
    <w:p w:rsidR="00191A8C" w:rsidRPr="00337F32" w:rsidP="00337F32" w14:paraId="2AC4C460" w14:textId="386C4A18">
      <w:pPr>
        <w:pBdr>
          <w:top w:val="nil"/>
          <w:left w:val="nil"/>
          <w:bottom w:val="nil"/>
          <w:right w:val="nil"/>
          <w:between w:val="nil"/>
        </w:pBdr>
        <w:spacing w:after="160" w:line="480" w:lineRule="auto"/>
        <w:ind w:firstLine="720"/>
        <w:rPr>
          <w:color w:val="000000"/>
        </w:rPr>
      </w:pPr>
      <w:r w:rsidRPr="00337F32">
        <w:rPr>
          <w:color w:val="000000"/>
        </w:rPr>
        <w:t xml:space="preserve">The rising costs and reductions in government funding </w:t>
      </w:r>
      <w:r w:rsidRPr="00337F32">
        <w:rPr>
          <w:color w:val="000000"/>
        </w:rPr>
        <w:t>ha</w:t>
      </w:r>
      <w:r w:rsidRPr="00337F32">
        <w:rPr>
          <w:color w:val="000000"/>
        </w:rPr>
        <w:t xml:space="preserve">ve caused institutions of higher learning to reassess priorities. As colleges and universities struggle </w:t>
      </w:r>
      <w:r w:rsidRPr="00337F32" w:rsidR="00E71CCC">
        <w:rPr>
          <w:color w:val="000000"/>
        </w:rPr>
        <w:t>with reductions</w:t>
      </w:r>
      <w:r w:rsidRPr="00337F32">
        <w:rPr>
          <w:color w:val="000000"/>
        </w:rPr>
        <w:t xml:space="preserve"> in funding, they are recognizing the need for </w:t>
      </w:r>
      <w:r w:rsidRPr="00337F32" w:rsidR="00337F32">
        <w:rPr>
          <w:color w:val="000000"/>
        </w:rPr>
        <w:t xml:space="preserve">flexibleness. </w:t>
      </w:r>
      <w:r w:rsidRPr="00337F32">
        <w:rPr>
          <w:color w:val="000000"/>
        </w:rPr>
        <w:t xml:space="preserve">Students are in need of programs that offer them some flexibility. As a result, they are likely to enroll in programs that offer them the chance to advance their professional lives even as they seek to boost the skills that they have. </w:t>
      </w:r>
    </w:p>
    <w:p w:rsidR="00191A8C" w:rsidRPr="00337F32" w:rsidP="00337F32" w14:paraId="59AE738F" w14:textId="7FBC0773">
      <w:pPr>
        <w:pBdr>
          <w:top w:val="nil"/>
          <w:left w:val="nil"/>
          <w:bottom w:val="nil"/>
          <w:right w:val="nil"/>
          <w:between w:val="nil"/>
        </w:pBdr>
        <w:spacing w:line="480" w:lineRule="auto"/>
        <w:ind w:firstLine="720"/>
        <w:rPr>
          <w:color w:val="000000"/>
        </w:rPr>
      </w:pPr>
      <w:r w:rsidRPr="00337F32">
        <w:rPr>
          <w:color w:val="000000"/>
        </w:rPr>
        <w:t>Higher education institutions see the wisdom in adopting innovative models that are likely to improve the level of funding while at the same time not compromising on the quality of education (</w:t>
      </w:r>
      <w:r w:rsidRPr="00337F32" w:rsidR="00E71CCC">
        <w:rPr>
          <w:color w:val="000000"/>
          <w:highlight w:val="white"/>
        </w:rPr>
        <w:t>Them</w:t>
      </w:r>
      <w:r w:rsidRPr="00337F32">
        <w:rPr>
          <w:color w:val="000000"/>
          <w:highlight w:val="white"/>
        </w:rPr>
        <w:t xml:space="preserve"> &amp; Lynch, 2014).</w:t>
      </w:r>
      <w:r w:rsidRPr="00337F32">
        <w:rPr>
          <w:color w:val="000000"/>
        </w:rPr>
        <w:t xml:space="preserve"> One of the tenets of the new models is higher learning needs to </w:t>
      </w:r>
      <w:r w:rsidRPr="00337F32" w:rsidR="005316FF">
        <w:rPr>
          <w:color w:val="000000"/>
        </w:rPr>
        <w:t>be flexible</w:t>
      </w:r>
      <w:r w:rsidRPr="00337F32">
        <w:rPr>
          <w:color w:val="000000"/>
        </w:rPr>
        <w:t xml:space="preserve"> in order to be accessible for students. In essence, </w:t>
      </w:r>
      <w:r w:rsidRPr="00337F32" w:rsidR="007D59FA">
        <w:rPr>
          <w:color w:val="000000"/>
        </w:rPr>
        <w:t>tractability</w:t>
      </w:r>
      <w:r w:rsidRPr="00337F32">
        <w:rPr>
          <w:color w:val="000000"/>
        </w:rPr>
        <w:t xml:space="preserve"> is likely to increase enrollment in higher education programs (</w:t>
      </w:r>
      <w:r w:rsidRPr="00337F32" w:rsidR="003440B1">
        <w:t>York, 2019</w:t>
      </w:r>
      <w:r w:rsidRPr="00337F32">
        <w:rPr>
          <w:color w:val="000000"/>
        </w:rPr>
        <w:t xml:space="preserve">).  The better </w:t>
      </w:r>
      <w:r w:rsidRPr="00337F32" w:rsidR="005316FF">
        <w:rPr>
          <w:color w:val="000000"/>
        </w:rPr>
        <w:t>programs allow</w:t>
      </w:r>
      <w:r w:rsidRPr="00337F32">
        <w:rPr>
          <w:color w:val="000000"/>
        </w:rPr>
        <w:t xml:space="preserve"> students to use </w:t>
      </w:r>
      <w:r w:rsidRPr="00337F32" w:rsidR="005316FF">
        <w:rPr>
          <w:color w:val="000000"/>
        </w:rPr>
        <w:t>available time to</w:t>
      </w:r>
      <w:r w:rsidRPr="00337F32">
        <w:rPr>
          <w:color w:val="000000"/>
        </w:rPr>
        <w:t xml:space="preserve"> work towards higher education while holding a full-time job.</w:t>
      </w:r>
    </w:p>
    <w:p w:rsidR="00191A8C" w:rsidRPr="00337F32" w:rsidP="00337F32" w14:paraId="1494293E" w14:textId="77777777">
      <w:pPr>
        <w:keepNext/>
        <w:keepLines/>
        <w:pBdr>
          <w:top w:val="nil"/>
          <w:left w:val="nil"/>
          <w:bottom w:val="nil"/>
          <w:right w:val="nil"/>
          <w:between w:val="nil"/>
        </w:pBdr>
        <w:spacing w:before="240" w:line="480" w:lineRule="auto"/>
        <w:rPr>
          <w:b/>
          <w:color w:val="000000"/>
        </w:rPr>
      </w:pPr>
      <w:r w:rsidRPr="00337F32">
        <w:rPr>
          <w:b/>
          <w:color w:val="000000"/>
        </w:rPr>
        <w:t>Responses to Challenges that Have Emerged in Higher Education Funding</w:t>
      </w:r>
    </w:p>
    <w:p w:rsidR="00191A8C" w:rsidRPr="00337F32" w:rsidP="00337F32" w14:paraId="12FEDF68" w14:textId="41866EBB">
      <w:pPr>
        <w:pBdr>
          <w:top w:val="nil"/>
          <w:left w:val="nil"/>
          <w:bottom w:val="nil"/>
          <w:right w:val="nil"/>
          <w:between w:val="nil"/>
        </w:pBdr>
        <w:spacing w:line="480" w:lineRule="auto"/>
        <w:ind w:firstLine="720"/>
        <w:rPr>
          <w:color w:val="000000"/>
        </w:rPr>
      </w:pPr>
      <w:bookmarkStart w:id="0" w:name="_gjdgxs" w:colFirst="0" w:colLast="0"/>
      <w:bookmarkEnd w:id="0"/>
      <w:r w:rsidRPr="008265D2">
        <w:rPr>
          <w:color w:val="000000"/>
        </w:rPr>
        <w:t>In responding to challenge for flexibility and accessibility, institutions of higher learning have implemented various open</w:t>
      </w:r>
      <w:r w:rsidRPr="00337F32">
        <w:rPr>
          <w:b/>
          <w:color w:val="000000"/>
        </w:rPr>
        <w:t xml:space="preserve"> </w:t>
      </w:r>
      <w:r w:rsidRPr="00337F32">
        <w:rPr>
          <w:color w:val="000000"/>
        </w:rPr>
        <w:t xml:space="preserve">learning programs. </w:t>
      </w:r>
      <w:r w:rsidRPr="00337F32" w:rsidR="005316FF">
        <w:rPr>
          <w:color w:val="000000"/>
        </w:rPr>
        <w:t>Thus,</w:t>
      </w:r>
      <w:r w:rsidRPr="00337F32">
        <w:rPr>
          <w:color w:val="000000"/>
        </w:rPr>
        <w:t xml:space="preserve"> open learning has significantly increased in use in institutions of higher learning. Statistics show that more than six million people are currently enrolled in open learning programs in the US. These programs break the </w:t>
      </w:r>
      <w:r w:rsidRPr="00337F32">
        <w:rPr>
          <w:color w:val="000000"/>
        </w:rPr>
        <w:t>physical barrier that may hamper the ability of students to acquire information, primarily when they are located in isolated areas (</w:t>
      </w:r>
      <w:r w:rsidRPr="00337F32">
        <w:rPr>
          <w:color w:val="000000"/>
          <w:highlight w:val="white"/>
        </w:rPr>
        <w:t>Kadushin &amp; Harkness, 2014)</w:t>
      </w:r>
      <w:r w:rsidRPr="00337F32">
        <w:rPr>
          <w:color w:val="000000"/>
        </w:rPr>
        <w:t xml:space="preserve">. These typically offer the chance for students to acquire knowledge and information from a distance.  Rubin and Babbie </w:t>
      </w:r>
      <w:r w:rsidRPr="00337F32" w:rsidR="00E71CCC">
        <w:rPr>
          <w:color w:val="000000"/>
        </w:rPr>
        <w:t>describe an</w:t>
      </w:r>
      <w:r w:rsidRPr="00337F32">
        <w:rPr>
          <w:color w:val="000000"/>
        </w:rPr>
        <w:t xml:space="preserve"> extensive framework for open learning to ensure that it boosts the value that it adds to the learning process of students. Probably the most crucial element involves taking advantage of the spreading use of the internet to ensure a seamless, real-time flow of information from instructors to students (</w:t>
      </w:r>
      <w:r w:rsidRPr="00337F32">
        <w:rPr>
          <w:color w:val="000000"/>
          <w:highlight w:val="white"/>
        </w:rPr>
        <w:t>Rubin &amp; Babbie, 2016)</w:t>
      </w:r>
      <w:r w:rsidRPr="00337F32">
        <w:rPr>
          <w:color w:val="000000"/>
        </w:rPr>
        <w:t>. Students use online platforms to access different forms of information.
</w:t>
      </w:r>
    </w:p>
    <w:p w:rsidR="00191A8C" w:rsidRPr="00337F32" w:rsidP="00C82AA2" w14:paraId="1D57ED20" w14:textId="3DDFFA11">
      <w:pPr>
        <w:pBdr>
          <w:top w:val="nil"/>
          <w:left w:val="nil"/>
          <w:bottom w:val="nil"/>
          <w:right w:val="nil"/>
          <w:between w:val="nil"/>
        </w:pBdr>
        <w:spacing w:line="480" w:lineRule="auto"/>
        <w:ind w:firstLine="720"/>
        <w:rPr>
          <w:color w:val="000000"/>
        </w:rPr>
      </w:pPr>
      <w:r w:rsidRPr="00337F32">
        <w:rPr>
          <w:color w:val="000000"/>
        </w:rPr>
        <w:t>If open</w:t>
      </w:r>
      <w:r w:rsidRPr="00337F32" w:rsidR="00091AAC">
        <w:rPr>
          <w:color w:val="000000"/>
        </w:rPr>
        <w:t xml:space="preserve"> learning programs are to be comparable in quality to traditional higher education experience, certain requirements are imperative. Platforms for open learning need to be stable and easy to navigate. The platform must be properly administered and </w:t>
      </w:r>
      <w:r w:rsidRPr="00337F32">
        <w:rPr>
          <w:color w:val="000000"/>
        </w:rPr>
        <w:t>monitored.</w:t>
      </w:r>
      <w:r w:rsidRPr="00337F32" w:rsidR="00091AAC">
        <w:rPr>
          <w:color w:val="000000"/>
        </w:rPr>
        <w:t xml:space="preserve"> Each lesson module needs to be comprehensive, complete with resource materials that may be r</w:t>
      </w:r>
      <w:r w:rsidR="00C82AA2">
        <w:rPr>
          <w:color w:val="000000"/>
        </w:rPr>
        <w:t>eferenced in a learning module</w:t>
      </w:r>
      <w:r w:rsidRPr="00337F32" w:rsidR="00091AAC">
        <w:rPr>
          <w:color w:val="000000"/>
        </w:rPr>
        <w:t xml:space="preserve"> and references for further </w:t>
      </w:r>
      <w:r w:rsidRPr="00337F32">
        <w:rPr>
          <w:color w:val="000000"/>
        </w:rPr>
        <w:t xml:space="preserve">learning. </w:t>
      </w:r>
      <w:r w:rsidRPr="00337F32">
        <w:rPr>
          <w:color w:val="000000"/>
        </w:rPr>
        <w:t>(</w:t>
      </w:r>
      <w:r w:rsidR="00C82AA2">
        <w:rPr>
          <w:color w:val="000000"/>
          <w:highlight w:val="white"/>
        </w:rPr>
        <w:t>Kadushin</w:t>
      </w:r>
      <w:r w:rsidR="00C82AA2">
        <w:rPr>
          <w:color w:val="000000"/>
          <w:highlight w:val="white"/>
        </w:rPr>
        <w:t xml:space="preserve"> &amp; </w:t>
      </w:r>
      <w:r w:rsidR="00C82AA2">
        <w:rPr>
          <w:color w:val="000000"/>
          <w:highlight w:val="white"/>
        </w:rPr>
        <w:t>Harkness</w:t>
      </w:r>
      <w:r w:rsidR="00C82AA2">
        <w:rPr>
          <w:color w:val="000000"/>
          <w:highlight w:val="white"/>
        </w:rPr>
        <w:t xml:space="preserve">, </w:t>
      </w:r>
      <w:r w:rsidRPr="00337F32" w:rsidR="00091AAC">
        <w:rPr>
          <w:color w:val="000000"/>
          <w:highlight w:val="white"/>
        </w:rPr>
        <w:t>2014)</w:t>
      </w:r>
      <w:r w:rsidRPr="00337F32" w:rsidR="00091AAC">
        <w:rPr>
          <w:color w:val="000000"/>
        </w:rPr>
        <w:t>.</w:t>
      </w:r>
      <w:r w:rsidRPr="00337F32" w:rsidR="00091AAC">
        <w:rPr>
          <w:color w:val="000000"/>
        </w:rPr>
        <w:t xml:space="preserve"> As the program is monitored, the aim is to note the specific areas of weakness that it might contain. Weak </w:t>
      </w:r>
      <w:r w:rsidRPr="00337F32">
        <w:rPr>
          <w:color w:val="000000"/>
        </w:rPr>
        <w:t>areas are</w:t>
      </w:r>
      <w:r w:rsidRPr="00337F32" w:rsidR="00091AAC">
        <w:rPr>
          <w:color w:val="000000"/>
        </w:rPr>
        <w:t xml:space="preserve"> identified and strengthened continuously to make it easy for students to attain better interactive sessions while using it. (Birkenmaier et al., 2011) </w:t>
      </w:r>
      <w:r w:rsidRPr="00337F32" w:rsidR="00091AAC">
        <w:rPr>
          <w:color w:val="000000"/>
        </w:rPr>
        <w:t>(Online Learning Consortium, 2017).</w:t>
      </w:r>
      <w:r w:rsidRPr="00337F32" w:rsidR="00091AAC">
        <w:rPr>
          <w:color w:val="000000"/>
        </w:rPr>
        <w:t xml:space="preserve"> </w:t>
      </w:r>
    </w:p>
    <w:p w:rsidR="00191A8C" w:rsidRPr="00337F32" w:rsidP="00337F32" w14:paraId="5130A0DE" w14:textId="76B4E9FB">
      <w:pPr>
        <w:pBdr>
          <w:top w:val="nil"/>
          <w:left w:val="nil"/>
          <w:bottom w:val="nil"/>
          <w:right w:val="nil"/>
          <w:between w:val="nil"/>
        </w:pBdr>
        <w:spacing w:line="480" w:lineRule="auto"/>
        <w:ind w:firstLine="720"/>
        <w:rPr>
          <w:color w:val="000000"/>
        </w:rPr>
      </w:pPr>
      <w:r w:rsidRPr="00337F32">
        <w:t xml:space="preserve">Statistics are drawn from the report by Online Learning Consortium, (2017) also show that at the time of the report, more than one in four students took at least one online course. Almost three </w:t>
      </w:r>
      <w:r w:rsidRPr="00337F32">
        <w:t>million,</w:t>
      </w:r>
      <w:r w:rsidRPr="00337F32">
        <w:t xml:space="preserve"> or 14.3% of those students were enrolled in online programs. Another 15.4% were taking both the distance learning modules and non-distance modules. Nearly five million (83%) were at the undergraduate level of study. It is important to note that public institutions have enrolled more students in distance education, with 67.8% of the distance students (Online </w:t>
      </w:r>
      <w:r w:rsidRPr="00337F32">
        <w:t>Learning Consortium, 2017</w:t>
      </w:r>
      <w:r w:rsidR="00C82AA2">
        <w:t xml:space="preserve">) </w:t>
      </w:r>
      <w:r w:rsidRPr="00337F32">
        <w:rPr>
          <w:color w:val="000000"/>
        </w:rPr>
        <w:t>(</w:t>
      </w:r>
      <w:r w:rsidRPr="00337F32">
        <w:rPr>
          <w:color w:val="000000"/>
        </w:rPr>
        <w:t>Gianino</w:t>
      </w:r>
      <w:r w:rsidRPr="00337F32">
        <w:rPr>
          <w:color w:val="000000"/>
        </w:rPr>
        <w:t xml:space="preserve">, 2016). This </w:t>
      </w:r>
      <w:r w:rsidRPr="00337F32" w:rsidR="00D467BC">
        <w:rPr>
          <w:color w:val="000000"/>
        </w:rPr>
        <w:t>means that the MSW programs have seen a massive increase in fresh enrolments of students with students who prefer pursuing social work education through online programs</w:t>
      </w:r>
      <w:r w:rsidRPr="00337F32">
        <w:rPr>
          <w:color w:val="000000"/>
        </w:rPr>
        <w:t xml:space="preserve">. There are projections that the figures are likely to </w:t>
      </w:r>
      <w:r w:rsidRPr="00337F32" w:rsidR="0004113C">
        <w:rPr>
          <w:color w:val="000000"/>
        </w:rPr>
        <w:t>rise as</w:t>
      </w:r>
      <w:r w:rsidRPr="00337F32">
        <w:rPr>
          <w:color w:val="000000"/>
        </w:rPr>
        <w:t xml:space="preserve"> more people become aware of its existence and the vital role that it can play. </w:t>
      </w:r>
      <w:r w:rsidRPr="00337F32">
        <w:rPr>
          <w:color w:val="000000"/>
        </w:rPr>
        <w:t>(Howard, 2016).</w:t>
      </w:r>
      <w:r w:rsidRPr="00337F32">
        <w:rPr>
          <w:color w:val="000000"/>
        </w:rPr>
        <w:t xml:space="preserve"> </w:t>
      </w:r>
      <w:r w:rsidRPr="00337F32">
        <w:rPr>
          <w:color w:val="000000"/>
        </w:rPr>
        <w:t>According to the Distance Education Enrollment Report 2017, enrollment in private</w:t>
      </w:r>
      <w:r w:rsidRPr="00337F32">
        <w:rPr>
          <w:color w:val="000000"/>
          <w:highlight w:val="yellow"/>
        </w:rPr>
        <w:t xml:space="preserve"> </w:t>
      </w:r>
      <w:r w:rsidRPr="00337F32">
        <w:rPr>
          <w:color w:val="000000"/>
        </w:rPr>
        <w:t>institutions increased by 11.4% in 2015.</w:t>
      </w:r>
      <w:r w:rsidRPr="00337F32">
        <w:rPr>
          <w:color w:val="000000"/>
        </w:rPr>
        <w:t xml:space="preserve"> In the same period, enrollment in private for-profit institutions fell by 9.4% (Online Learning Consortium, 2017). </w:t>
      </w:r>
      <w:r w:rsidRPr="00337F32" w:rsidR="0004113C">
        <w:rPr>
          <w:color w:val="000000"/>
        </w:rPr>
        <w:t>Compelling studies have demonstrated</w:t>
      </w:r>
      <w:r w:rsidRPr="00337F32">
        <w:rPr>
          <w:color w:val="000000"/>
        </w:rPr>
        <w:t xml:space="preserve"> that many people are interested in</w:t>
      </w:r>
      <w:r w:rsidRPr="00337F32" w:rsidR="0004113C">
        <w:rPr>
          <w:color w:val="000000"/>
        </w:rPr>
        <w:t xml:space="preserve"> online learning</w:t>
      </w:r>
      <w:r w:rsidRPr="00337F32">
        <w:rPr>
          <w:color w:val="000000"/>
        </w:rPr>
        <w:t xml:space="preserve"> program</w:t>
      </w:r>
      <w:r w:rsidRPr="00337F32" w:rsidR="0004113C">
        <w:rPr>
          <w:color w:val="000000"/>
        </w:rPr>
        <w:t>s because of the diversity and flexibility associated with distance education programs.  Another important reason why many learners are opting for distance learning programs is because of reduced commuter costs and therefore, s</w:t>
      </w:r>
      <w:r w:rsidRPr="00337F32">
        <w:rPr>
          <w:color w:val="000000"/>
        </w:rPr>
        <w:t>tudents are obviously going for cheaper alternatives.</w:t>
      </w:r>
    </w:p>
    <w:p w:rsidR="00191A8C" w:rsidRPr="00337F32" w:rsidP="00337F32" w14:paraId="51983FFC" w14:textId="7A9F3D84">
      <w:pPr>
        <w:pBdr>
          <w:top w:val="nil"/>
          <w:left w:val="nil"/>
          <w:bottom w:val="nil"/>
          <w:right w:val="nil"/>
          <w:between w:val="nil"/>
        </w:pBdr>
        <w:spacing w:after="160" w:line="480" w:lineRule="auto"/>
        <w:ind w:firstLine="720"/>
        <w:rPr>
          <w:color w:val="000000"/>
        </w:rPr>
      </w:pPr>
      <w:r w:rsidRPr="00337F32">
        <w:rPr>
          <w:color w:val="000000"/>
        </w:rPr>
        <w:t>It is important to note that public institutions despite their declining base have continued to lead the pack in enrollments, while the private nonprofit has been on the decline for three years in a row</w:t>
      </w:r>
      <w:r w:rsidRPr="00337F32" w:rsidR="007D59FA">
        <w:rPr>
          <w:color w:val="000000"/>
        </w:rPr>
        <w:t xml:space="preserve"> (</w:t>
      </w:r>
      <w:r w:rsidRPr="00337F32" w:rsidR="007D59FA">
        <w:t>York, 2019)</w:t>
      </w:r>
      <w:r w:rsidRPr="00337F32">
        <w:rPr>
          <w:color w:val="000000"/>
        </w:rPr>
        <w:t xml:space="preserve">. From this, we may conclude that public institutions play a significant role in the provision of distance education. This can be attributed to the several dynamics that are operating in the higher education sector. The </w:t>
      </w:r>
      <w:r w:rsidRPr="00337F32" w:rsidR="00E71CCC">
        <w:rPr>
          <w:color w:val="000000"/>
        </w:rPr>
        <w:t>two major</w:t>
      </w:r>
      <w:r w:rsidRPr="00337F32">
        <w:rPr>
          <w:color w:val="000000"/>
        </w:rPr>
        <w:t xml:space="preserve"> sectors involving public and private institutions have been found to grow at different speeds.</w:t>
      </w:r>
      <w:r w:rsidR="00C82AA2">
        <w:rPr>
          <w:color w:val="000000"/>
        </w:rPr>
        <w:t xml:space="preserve"> The Online Learning Consortium</w:t>
      </w:r>
      <w:r w:rsidRPr="00337F32">
        <w:rPr>
          <w:color w:val="000000"/>
        </w:rPr>
        <w:t xml:space="preserve"> (2017</w:t>
      </w:r>
      <w:r w:rsidRPr="00337F32" w:rsidR="00E71CCC">
        <w:rPr>
          <w:color w:val="000000"/>
        </w:rPr>
        <w:t>)</w:t>
      </w:r>
      <w:r w:rsidR="00C82AA2">
        <w:rPr>
          <w:color w:val="000000"/>
        </w:rPr>
        <w:t>, t</w:t>
      </w:r>
      <w:r w:rsidRPr="00337F32" w:rsidR="00C82AA2">
        <w:rPr>
          <w:color w:val="000000"/>
        </w:rPr>
        <w:t>he</w:t>
      </w:r>
      <w:r w:rsidR="00C82AA2">
        <w:rPr>
          <w:color w:val="000000"/>
        </w:rPr>
        <w:t xml:space="preserve">se declines in enrollment have </w:t>
      </w:r>
      <w:r w:rsidRPr="00337F32" w:rsidR="00E71CCC">
        <w:rPr>
          <w:color w:val="000000"/>
        </w:rPr>
        <w:t>also</w:t>
      </w:r>
      <w:r w:rsidRPr="00337F32">
        <w:rPr>
          <w:color w:val="000000"/>
        </w:rPr>
        <w:t xml:space="preserve"> reported a decline in the students enrolled in distance learning. Studies show that distance learning is a more popular choice for students enrolled </w:t>
      </w:r>
      <w:r w:rsidRPr="00337F32" w:rsidR="00E71CCC">
        <w:rPr>
          <w:color w:val="000000"/>
        </w:rPr>
        <w:t>at smaller</w:t>
      </w:r>
      <w:r w:rsidRPr="00337F32">
        <w:rPr>
          <w:color w:val="000000"/>
        </w:rPr>
        <w:t xml:space="preserve"> institutions. Whereas less than half of all distance learners are enrolled in the top 5 </w:t>
      </w:r>
      <w:r w:rsidRPr="00337F32" w:rsidR="00E71CCC">
        <w:rPr>
          <w:color w:val="000000"/>
        </w:rPr>
        <w:t>schools, forty</w:t>
      </w:r>
      <w:r w:rsidRPr="00337F32">
        <w:rPr>
          <w:color w:val="000000"/>
        </w:rPr>
        <w:t>-seven of the top institutions have absorbed a mere one percent of the 23% of all students enrolle</w:t>
      </w:r>
      <w:r w:rsidR="00C82AA2">
        <w:rPr>
          <w:color w:val="000000"/>
        </w:rPr>
        <w:t xml:space="preserve">d in distance learning programs </w:t>
      </w:r>
      <w:r w:rsidRPr="00337F32">
        <w:rPr>
          <w:color w:val="000000"/>
        </w:rPr>
        <w:t>(</w:t>
      </w:r>
      <w:r w:rsidRPr="00337F32" w:rsidR="0017673B">
        <w:t>Wilke</w:t>
      </w:r>
      <w:r w:rsidRPr="00337F32" w:rsidR="0017673B">
        <w:t xml:space="preserve"> &amp; Vinton, 2017)</w:t>
      </w:r>
      <w:r w:rsidRPr="00337F32">
        <w:rPr>
          <w:b/>
          <w:color w:val="000000"/>
        </w:rPr>
        <w:t>.</w:t>
      </w:r>
    </w:p>
    <w:p w:rsidR="0004113C" w:rsidRPr="00C82AA2" w:rsidP="00C82AA2" w14:paraId="56A59D7F" w14:textId="77777777">
      <w:pPr>
        <w:pBdr>
          <w:top w:val="nil"/>
          <w:left w:val="nil"/>
          <w:bottom w:val="nil"/>
          <w:right w:val="nil"/>
          <w:between w:val="nil"/>
        </w:pBdr>
        <w:spacing w:after="160" w:line="480" w:lineRule="auto"/>
        <w:rPr>
          <w:b/>
          <w:color w:val="000000"/>
        </w:rPr>
      </w:pPr>
      <w:r w:rsidRPr="00C82AA2">
        <w:rPr>
          <w:b/>
          <w:color w:val="000000"/>
        </w:rPr>
        <w:t>Innovative Models in MSW programs</w:t>
      </w:r>
    </w:p>
    <w:p w:rsidR="0004113C" w:rsidRPr="00337F32" w:rsidP="00337F32" w14:paraId="1725B628" w14:textId="5DC6D153">
      <w:pPr>
        <w:pBdr>
          <w:top w:val="nil"/>
          <w:left w:val="nil"/>
          <w:bottom w:val="nil"/>
          <w:right w:val="nil"/>
          <w:between w:val="nil"/>
        </w:pBdr>
        <w:spacing w:after="160" w:line="480" w:lineRule="auto"/>
        <w:ind w:firstLine="720"/>
        <w:rPr>
          <w:color w:val="000000"/>
        </w:rPr>
      </w:pPr>
      <w:r w:rsidRPr="00337F32">
        <w:rPr>
          <w:color w:val="000000"/>
        </w:rPr>
        <w:t xml:space="preserve">Introduction of quality and advanced technological measures in the online platforms and </w:t>
      </w:r>
      <w:r w:rsidRPr="00337F32">
        <w:rPr>
          <w:color w:val="000000"/>
        </w:rPr>
        <w:t>websites</w:t>
      </w:r>
      <w:r w:rsidRPr="00337F32">
        <w:rPr>
          <w:color w:val="000000"/>
        </w:rPr>
        <w:t xml:space="preserve"> that offer online education in social work have are among the top reasons the trends in online learning have been changing in the recent past. High interactive software programs that are used in learning and teaching of online classes have contributed to positive change in numbers of students enrolling for online classes. With the current generation, internet cost is very low therefore it is affordable for those students who are financially disadvantaged. All these factors are the reasons behind the new trend in online education. Furthermore, scholars indicate that </w:t>
      </w:r>
      <w:r w:rsidRPr="00337F32" w:rsidR="007C02A5">
        <w:rPr>
          <w:color w:val="000000"/>
        </w:rPr>
        <w:t>more and more students will enroll in online classes in the future than it stands at the moment. 
</w:t>
      </w:r>
    </w:p>
    <w:p w:rsidR="00191A8C" w:rsidRPr="00337F32" w:rsidP="00337F32" w14:paraId="7A432BD4" w14:textId="5D52D014">
      <w:pPr>
        <w:pBdr>
          <w:top w:val="nil"/>
          <w:left w:val="nil"/>
          <w:bottom w:val="nil"/>
          <w:right w:val="nil"/>
          <w:between w:val="nil"/>
        </w:pBdr>
        <w:spacing w:after="160" w:line="480" w:lineRule="auto"/>
        <w:ind w:firstLine="720"/>
        <w:rPr>
          <w:color w:val="000000"/>
        </w:rPr>
      </w:pPr>
      <w:r w:rsidRPr="00337F32">
        <w:rPr>
          <w:color w:val="000000"/>
        </w:rPr>
        <w:t xml:space="preserve">Currently, several options are available for students pursuing social work. Social work </w:t>
      </w:r>
      <w:r w:rsidRPr="00337F32" w:rsidR="0004113C">
        <w:rPr>
          <w:color w:val="000000"/>
        </w:rPr>
        <w:t>education includes</w:t>
      </w:r>
      <w:r w:rsidRPr="00337F32">
        <w:rPr>
          <w:color w:val="000000"/>
        </w:rPr>
        <w:t xml:space="preserve"> ad hoc online programs and courses, fully online programs, School-as-a-Service, educational partnership, blended or hybrid courses, and flipped classrooms. Massive Open Online Courses (MOOCs) are offered at a given time as suggested by the lecturers online. One only needs to log into the account to access the materials for the lecture or the videos posted by the instructor (Hill, 2014). Students engaged in open learning programs deem </w:t>
      </w:r>
      <w:r w:rsidRPr="00337F32" w:rsidR="007C02A5">
        <w:rPr>
          <w:color w:val="000000"/>
        </w:rPr>
        <w:t xml:space="preserve">MOOCs such as </w:t>
      </w:r>
      <w:r w:rsidRPr="00337F32" w:rsidR="00DF2240">
        <w:rPr>
          <w:color w:val="000000"/>
        </w:rPr>
        <w:t>D</w:t>
      </w:r>
      <w:r w:rsidRPr="00337F32" w:rsidR="007C02A5">
        <w:rPr>
          <w:color w:val="000000"/>
        </w:rPr>
        <w:t xml:space="preserve">uolingo, </w:t>
      </w:r>
      <w:r w:rsidRPr="00337F32" w:rsidR="00DF2240">
        <w:rPr>
          <w:color w:val="000000"/>
        </w:rPr>
        <w:t>Google</w:t>
      </w:r>
      <w:r w:rsidRPr="00337F32" w:rsidR="007C02A5">
        <w:rPr>
          <w:color w:val="000000"/>
        </w:rPr>
        <w:t xml:space="preserve"> premier</w:t>
      </w:r>
      <w:r w:rsidRPr="00337F32" w:rsidR="00DF2240">
        <w:rPr>
          <w:color w:val="000000"/>
        </w:rPr>
        <w:t>, Treehouse, Lynda, Codecademy and education first learning as the most</w:t>
      </w:r>
      <w:r w:rsidRPr="00337F32">
        <w:rPr>
          <w:color w:val="000000"/>
        </w:rPr>
        <w:t xml:space="preserve"> appropriate because </w:t>
      </w:r>
      <w:r w:rsidRPr="00337F32" w:rsidR="00DF2240">
        <w:rPr>
          <w:color w:val="000000"/>
        </w:rPr>
        <w:t>they</w:t>
      </w:r>
      <w:r w:rsidRPr="00337F32">
        <w:rPr>
          <w:color w:val="000000"/>
        </w:rPr>
        <w:t xml:space="preserve"> create effective channels of solving any problems they might be experiencing, giving the student regular access to the instructor. </w:t>
      </w:r>
      <w:r w:rsidRPr="00337F32">
        <w:rPr>
          <w:color w:val="000000"/>
        </w:rPr>
        <w:t>(Atkins &amp; Frederico, 2017).</w:t>
      </w:r>
      <w:r w:rsidRPr="00337F32">
        <w:rPr>
          <w:color w:val="000000"/>
        </w:rPr>
        <w:t xml:space="preserve"> Online education has also been determined to be effective in reducing the challenges that MSW students are likely to have in accessing diversity in people who have the appropriate information for dealing with the </w:t>
      </w:r>
      <w:r w:rsidRPr="00337F32" w:rsidR="00DF2240">
        <w:rPr>
          <w:color w:val="000000"/>
        </w:rPr>
        <w:t>problem’s</w:t>
      </w:r>
      <w:r w:rsidRPr="00337F32">
        <w:rPr>
          <w:color w:val="000000"/>
        </w:rPr>
        <w:t xml:space="preserve"> students experience in the administration of social work activities</w:t>
      </w:r>
      <w:r w:rsidRPr="00337F32">
        <w:rPr>
          <w:rFonts w:eastAsia="Calibri"/>
          <w:color w:val="000000"/>
        </w:rPr>
        <w:t xml:space="preserve"> </w:t>
      </w:r>
      <w:r w:rsidRPr="00337F32">
        <w:rPr>
          <w:color w:val="000000"/>
        </w:rPr>
        <w:t>(</w:t>
      </w:r>
      <w:r w:rsidRPr="00337F32" w:rsidR="007D59FA">
        <w:rPr>
          <w:color w:val="000000"/>
        </w:rPr>
        <w:t>Howard, 2016</w:t>
      </w:r>
      <w:r w:rsidRPr="00337F32">
        <w:rPr>
          <w:color w:val="000000"/>
        </w:rPr>
        <w:t xml:space="preserve">). </w:t>
      </w:r>
    </w:p>
    <w:p w:rsidR="00191A8C" w:rsidRPr="00337F32" w:rsidP="00C82AA2" w14:paraId="1324D4EF" w14:textId="2CA4A0D4">
      <w:pPr>
        <w:pBdr>
          <w:top w:val="nil"/>
          <w:left w:val="nil"/>
          <w:bottom w:val="nil"/>
          <w:right w:val="nil"/>
          <w:between w:val="nil"/>
        </w:pBdr>
        <w:spacing w:line="480" w:lineRule="auto"/>
        <w:ind w:firstLine="720"/>
        <w:rPr>
          <w:color w:val="000000"/>
        </w:rPr>
      </w:pPr>
      <w:r w:rsidRPr="00337F32">
        <w:rPr>
          <w:color w:val="000000"/>
        </w:rPr>
        <w:t xml:space="preserve">Students are more likely to experience a variety of models in higher education which encourage interest </w:t>
      </w:r>
      <w:r w:rsidRPr="00337F32" w:rsidR="00E71CCC">
        <w:rPr>
          <w:color w:val="000000"/>
        </w:rPr>
        <w:t>in personal</w:t>
      </w:r>
      <w:r w:rsidRPr="00337F32">
        <w:rPr>
          <w:color w:val="000000"/>
        </w:rPr>
        <w:t xml:space="preserve"> research in line with these different concepts. This exposure can help students learn more about the skills required to improve their performance. Online students are also better able to track the trends evidenced in social work practice. They learn the input that they can have in the field once they gain the chance to participate fully in community activities (Watkin, 2012</w:t>
      </w:r>
      <w:r w:rsidRPr="00337F32" w:rsidR="00E71CCC">
        <w:rPr>
          <w:color w:val="000000"/>
        </w:rPr>
        <w:t>). This</w:t>
      </w:r>
      <w:r w:rsidRPr="00337F32">
        <w:rPr>
          <w:color w:val="000000"/>
        </w:rPr>
        <w:t xml:space="preserve"> enables students to be more flexible in handling their school work as well as careers.</w:t>
      </w:r>
    </w:p>
    <w:p w:rsidR="00191A8C" w:rsidRPr="00337F32" w:rsidP="00337F32" w14:paraId="0709956B" w14:textId="72FA3F83">
      <w:pPr>
        <w:spacing w:line="480" w:lineRule="auto"/>
        <w:rPr>
          <w:b/>
        </w:rPr>
      </w:pPr>
      <w:r w:rsidRPr="00337F32">
        <w:rPr>
          <w:b/>
        </w:rPr>
        <w:t>MSW Educational Outcomes</w:t>
      </w:r>
    </w:p>
    <w:p w:rsidR="00201D54" w:rsidRPr="00337F32" w:rsidP="00337F32" w14:paraId="09BAFA56" w14:textId="4D05686E">
      <w:pPr>
        <w:spacing w:line="480" w:lineRule="auto"/>
        <w:ind w:firstLine="720"/>
      </w:pPr>
      <w:r w:rsidRPr="00337F32">
        <w:t xml:space="preserve">In the recent past, online education MSW programs have drastically increased. </w:t>
      </w:r>
      <w:r w:rsidRPr="00337F32">
        <w:rPr>
          <w:color w:val="000000"/>
        </w:rPr>
        <w:t xml:space="preserve">According to </w:t>
      </w:r>
      <w:r w:rsidR="00C82AA2">
        <w:rPr>
          <w:color w:val="000000"/>
          <w:highlight w:val="white"/>
        </w:rPr>
        <w:t>Augustine &amp; Gentle-</w:t>
      </w:r>
      <w:r w:rsidR="00C82AA2">
        <w:rPr>
          <w:color w:val="000000"/>
          <w:highlight w:val="white"/>
        </w:rPr>
        <w:t>Genuity</w:t>
      </w:r>
      <w:r w:rsidRPr="00337F32">
        <w:rPr>
          <w:color w:val="000000"/>
          <w:highlight w:val="white"/>
        </w:rPr>
        <w:t xml:space="preserve"> (2013</w:t>
      </w:r>
      <w:r w:rsidRPr="00337F32">
        <w:rPr>
          <w:color w:val="000000"/>
        </w:rPr>
        <w:t>)</w:t>
      </w:r>
      <w:r w:rsidR="00C82AA2">
        <w:rPr>
          <w:color w:val="000000"/>
        </w:rPr>
        <w:t>,</w:t>
      </w:r>
      <w:r w:rsidRPr="00337F32">
        <w:t xml:space="preserve"> from the statistics provided by CSWE in the whole of United States, there are about 20 online education MSW programs. Among the 20 programs, some are hybrids that offer a systematic mix of onsite classes utilizing online instructions </w:t>
      </w:r>
      <w:r w:rsidRPr="00337F32">
        <w:rPr>
          <w:color w:val="000000"/>
        </w:rPr>
        <w:t>(</w:t>
      </w:r>
      <w:r w:rsidRPr="00337F32">
        <w:rPr>
          <w:color w:val="000000"/>
          <w:highlight w:val="white"/>
        </w:rPr>
        <w:t>Fook, 2016</w:t>
      </w:r>
      <w:r w:rsidRPr="00337F32">
        <w:rPr>
          <w:color w:val="000000"/>
        </w:rPr>
        <w:t>)</w:t>
      </w:r>
      <w:r w:rsidRPr="00337F32">
        <w:t>. Other programs use satellite locations and interactive TVs, however, most of education MSW services are currently being offe</w:t>
      </w:r>
      <w:r w:rsidR="00C82AA2">
        <w:t>red online. Collins &amp; Halverson</w:t>
      </w:r>
      <w:r w:rsidRPr="00337F32">
        <w:t xml:space="preserve"> (2018) argue that the online figures show that, at the moment 9 of CSWE structured distance education curricula are delivered online differently applying asynchronous and interactive synchron</w:t>
      </w:r>
      <w:r w:rsidR="00C82AA2">
        <w:t>ous modalities. Simonson et al.</w:t>
      </w:r>
      <w:r w:rsidRPr="00337F32">
        <w:t xml:space="preserve"> (2014) defined asynchronous as an assignment that can be accomplished at a student's proposal within a given timeframe. Synchronous, on the other hand, refers to a class that is held, live through the use of an online platform system whereby both the students and instructors take part simultaneously (</w:t>
      </w:r>
      <w:r w:rsidRPr="00337F32">
        <w:rPr>
          <w:color w:val="222222"/>
          <w:shd w:val="clear" w:color="auto" w:fill="FFFFFF"/>
        </w:rPr>
        <w:t>Allen &amp; Seaman, 2017).</w:t>
      </w:r>
      <w:r w:rsidRPr="00337F32">
        <w:t xml:space="preserve"> </w:t>
      </w:r>
    </w:p>
    <w:p w:rsidR="00201D54" w:rsidRPr="00337F32" w:rsidP="00337F32" w14:paraId="65227D3F" w14:textId="77777777">
      <w:pPr>
        <w:spacing w:line="480" w:lineRule="auto"/>
        <w:ind w:firstLine="720"/>
      </w:pPr>
      <w:r w:rsidRPr="00337F32">
        <w:t xml:space="preserve">As a result of the relative modernity of distance education, there is no distinct definition that can well describe the program. Studies by </w:t>
      </w:r>
      <w:r w:rsidRPr="00337F32">
        <w:rPr>
          <w:color w:val="222222"/>
          <w:shd w:val="clear" w:color="auto" w:fill="FFFFFF"/>
        </w:rPr>
        <w:t>Caruth &amp; Caruth, (2013</w:t>
      </w:r>
      <w:r w:rsidRPr="00337F32">
        <w:t xml:space="preserve">) defined distance or online education as a method of imparting knowledge that is largely depended on the internet as </w:t>
      </w:r>
      <w:r w:rsidRPr="00337F32">
        <w:t>the key source of disseminating information, delivering content and collaboration between the students and the instructors. Unlike face to face education, distance education does not imply a standalone educational program that is devoid of significant internet-oriented instruction. Additionally, online education is not limited to hybrids where a section of the content is offered in media different from the internet such as video, TV, and radio (</w:t>
      </w:r>
      <w:r w:rsidRPr="00337F32">
        <w:rPr>
          <w:color w:val="222222"/>
          <w:shd w:val="clear" w:color="auto" w:fill="FFFFFF"/>
        </w:rPr>
        <w:t>Seaman et al., 2018)</w:t>
      </w:r>
      <w:r w:rsidRPr="00337F32">
        <w:t xml:space="preserve">. </w:t>
      </w:r>
    </w:p>
    <w:p w:rsidR="00201D54" w:rsidRPr="00337F32" w:rsidP="00337F32" w14:paraId="772BC914" w14:textId="774651E0">
      <w:pPr>
        <w:spacing w:line="480" w:lineRule="auto"/>
        <w:ind w:firstLine="720"/>
      </w:pPr>
      <w:r w:rsidRPr="00337F32">
        <w:t>According to the US Department of education office of planning, evaluation and policy development and program studies, online social work services have greatly increased because of heightened demand for accessibility and flexibility contributed by various elements (</w:t>
      </w:r>
      <w:r w:rsidRPr="00337F32">
        <w:rPr>
          <w:color w:val="222222"/>
          <w:shd w:val="clear" w:color="auto" w:fill="FFFFFF"/>
        </w:rPr>
        <w:t>Kentnor, 2015</w:t>
      </w:r>
      <w:r w:rsidRPr="00337F32">
        <w:t xml:space="preserve">).  Various pieces of literature reviews report that increased financial constraints, high transport costs and emergence of nontraditional families are profound reasons that have led to increased demand for distance education among the students. Notable research conducted </w:t>
      </w:r>
      <w:r w:rsidR="00C82AA2">
        <w:rPr>
          <w:color w:val="222222"/>
          <w:shd w:val="clear" w:color="auto" w:fill="FFFFFF"/>
        </w:rPr>
        <w:t>by Murphy &amp; Rodríguez-</w:t>
      </w:r>
      <w:r w:rsidR="00C82AA2">
        <w:rPr>
          <w:color w:val="222222"/>
          <w:shd w:val="clear" w:color="auto" w:fill="FFFFFF"/>
        </w:rPr>
        <w:t>Manzanares</w:t>
      </w:r>
      <w:r w:rsidRPr="00337F32">
        <w:rPr>
          <w:color w:val="222222"/>
          <w:shd w:val="clear" w:color="auto" w:fill="FFFFFF"/>
        </w:rPr>
        <w:t xml:space="preserve"> (2012) </w:t>
      </w:r>
      <w:r w:rsidRPr="00337F32">
        <w:t xml:space="preserve">found that enrollment for distance programs in higher education increased by 12 percent whereas face to face programs only witnessed a 23 percent increase. Furthermore, the report demonstrated that almost 30 percent of all the higher education students pursue distance education and programs. </w:t>
      </w:r>
      <w:r w:rsidR="00C82AA2">
        <w:rPr>
          <w:color w:val="222222"/>
          <w:shd w:val="clear" w:color="auto" w:fill="FFFFFF"/>
        </w:rPr>
        <w:t>Simpson &amp; Anderson</w:t>
      </w:r>
      <w:r w:rsidRPr="00337F32">
        <w:rPr>
          <w:color w:val="222222"/>
          <w:shd w:val="clear" w:color="auto" w:fill="FFFFFF"/>
        </w:rPr>
        <w:t xml:space="preserve"> (2012) </w:t>
      </w:r>
      <w:r w:rsidRPr="00337F32">
        <w:t xml:space="preserve">revealed that distance education has greatly contributed to the success of social work education. Many institutions explain that flexibility seen in online programming makes learning and </w:t>
      </w:r>
      <w:r w:rsidRPr="00337F32">
        <w:t>students</w:t>
      </w:r>
      <w:r w:rsidRPr="00337F32">
        <w:t xml:space="preserve"> participation in MSW classes more tangible and productive for many scholars (</w:t>
      </w:r>
      <w:r w:rsidRPr="00337F32">
        <w:rPr>
          <w:color w:val="222222"/>
          <w:shd w:val="clear" w:color="auto" w:fill="FFFFFF"/>
        </w:rPr>
        <w:t>Hismanoglu, 2012)</w:t>
      </w:r>
      <w:r w:rsidRPr="00337F32">
        <w:t xml:space="preserve">. </w:t>
      </w:r>
    </w:p>
    <w:p w:rsidR="00201D54" w:rsidRPr="00337F32" w:rsidP="00337F32" w14:paraId="65CDF362" w14:textId="6387E63B">
      <w:pPr>
        <w:spacing w:line="480" w:lineRule="auto"/>
        <w:ind w:firstLine="720"/>
      </w:pPr>
      <w:r w:rsidRPr="00337F32">
        <w:t>As much as distance pedagogical methods have accomplished consistent inroads between social work education, some professionals warn that virtual class programs have no capacity to replace the face to face programs</w:t>
      </w:r>
      <w:r w:rsidRPr="00337F32">
        <w:rPr>
          <w:color w:val="222222"/>
          <w:shd w:val="clear" w:color="auto" w:fill="FFFFFF"/>
        </w:rPr>
        <w:t xml:space="preserve"> (Moore, 2014).</w:t>
      </w:r>
      <w:r w:rsidRPr="00337F32">
        <w:t xml:space="preserve"> Moreover, the scholars argue that virtual educational programs have failed to provide equal opportunities for socialization that is need for </w:t>
      </w:r>
      <w:r w:rsidRPr="00337F32">
        <w:t>a healthy</w:t>
      </w:r>
      <w:r w:rsidR="00C82AA2">
        <w:t xml:space="preserve"> profession. Jelfs &amp; Richardson</w:t>
      </w:r>
      <w:r w:rsidRPr="00337F32">
        <w:t xml:space="preserve"> (2013) posit that critics of distance education programs demonstrate that web-based designs provide inadequate collaboration and personal interaction, both of which form the center stage for establishment of crucial interpersonal skills that every profession wants employees to portray. </w:t>
      </w:r>
    </w:p>
    <w:p w:rsidR="00201D54" w:rsidRPr="00337F32" w:rsidP="00337F32" w14:paraId="28FEDED4" w14:textId="77777777">
      <w:pPr>
        <w:spacing w:line="480" w:lineRule="auto"/>
        <w:ind w:firstLine="720"/>
      </w:pPr>
      <w:r w:rsidRPr="00337F32">
        <w:t xml:space="preserve">Opponents of online education also hold that online structured learning cannot give similar opportunities given by the traditional learning systems regarding debate, discussions, and dialogue essential for expansion of authentic intellectual levels. Like that is not enough, other critics maintain that in case of unstable internet connectivity learning can be compromised which leads to minimal students’ satisfaction. </w:t>
      </w:r>
    </w:p>
    <w:p w:rsidR="00201D54" w:rsidRPr="00337F32" w:rsidP="00337F32" w14:paraId="54B737E4" w14:textId="0CC9C61E">
      <w:pPr>
        <w:spacing w:line="480" w:lineRule="auto"/>
        <w:ind w:firstLine="720"/>
      </w:pPr>
      <w:r w:rsidRPr="00337F32">
        <w:t>With the increased growth in online education as well as the underlying questions that surround the importance of distance pedagogical structure, there lives a quick need for researches that can clarify the effectiveness and signify the dependability of distance social work education. Regardless of this open requirement, limited research has been executed concerning online social work education. However, this research study evaluates different literature reviews about the educational results of a wide online bachelor's social work program and drawing a comparison line between these outcomes with those of the traditional classroom counterpart. During the past decade, a couple of researches have endeavored to investigate effectiveness of offering clinical social work courses through distance education. 
</w:t>
      </w:r>
    </w:p>
    <w:p w:rsidR="00191A8C" w:rsidRPr="00C82AA2" w:rsidP="00C82AA2" w14:paraId="2D4BA478" w14:textId="6F98615D">
      <w:pPr>
        <w:spacing w:line="480" w:lineRule="auto"/>
        <w:ind w:firstLine="720"/>
      </w:pPr>
      <w:r w:rsidRPr="00337F32">
        <w:t>The outcomes of these researches have demonstrated no big variance between the online and traditional students. Particularly, quasi-experimental research by (</w:t>
      </w:r>
      <w:r w:rsidRPr="00337F32">
        <w:rPr>
          <w:color w:val="222222"/>
          <w:shd w:val="clear" w:color="auto" w:fill="FFFFFF"/>
        </w:rPr>
        <w:t>Barbour</w:t>
      </w:r>
      <w:r w:rsidRPr="00337F32">
        <w:t xml:space="preserve"> et al., </w:t>
      </w:r>
      <w:r w:rsidRPr="00337F32">
        <w:rPr>
          <w:color w:val="222222"/>
          <w:shd w:val="clear" w:color="auto" w:fill="FFFFFF"/>
        </w:rPr>
        <w:t>2013</w:t>
      </w:r>
      <w:r w:rsidRPr="00337F32">
        <w:t xml:space="preserve">) demonstrated that imparting clinical experiences via distance learning programs is an essential and effective modality that any society can rely upon. The only satisfactory study so far that carried an investigation about the results of online MSW program was performed by Florida </w:t>
      </w:r>
      <w:r w:rsidRPr="00337F32">
        <w:t>State University (FSU). The university is known for offering a part-time program in online studies specifically for clinical students. According to the posttests that were presented by the FSU no significant differences were identified between online social work programs and traditional classroom. 
</w:t>
      </w:r>
    </w:p>
    <w:p w:rsidR="00191A8C" w:rsidRPr="00337F32" w:rsidP="00337F32" w14:paraId="49F162D7" w14:textId="77777777">
      <w:pPr>
        <w:pStyle w:val="Heading2"/>
        <w:spacing w:line="480" w:lineRule="auto"/>
        <w:rPr>
          <w:rFonts w:ascii="Times New Roman" w:eastAsia="Times New Roman" w:hAnsi="Times New Roman" w:cs="Times New Roman"/>
          <w:b/>
          <w:color w:val="000000"/>
          <w:sz w:val="24"/>
          <w:szCs w:val="24"/>
        </w:rPr>
      </w:pPr>
      <w:r w:rsidRPr="00337F32">
        <w:rPr>
          <w:rFonts w:ascii="Times New Roman" w:eastAsia="Times New Roman" w:hAnsi="Times New Roman" w:cs="Times New Roman"/>
          <w:b/>
          <w:color w:val="000000"/>
          <w:sz w:val="24"/>
          <w:szCs w:val="24"/>
        </w:rPr>
        <w:t>Social Work Education</w:t>
      </w:r>
    </w:p>
    <w:p w:rsidR="00191A8C" w:rsidRPr="00337F32" w:rsidP="00337F32" w14:paraId="4C69A460" w14:textId="6D751D29">
      <w:pPr>
        <w:pBdr>
          <w:top w:val="nil"/>
          <w:left w:val="nil"/>
          <w:bottom w:val="nil"/>
          <w:right w:val="nil"/>
          <w:between w:val="nil"/>
        </w:pBdr>
        <w:spacing w:after="160" w:line="480" w:lineRule="auto"/>
        <w:ind w:firstLine="720"/>
        <w:rPr>
          <w:color w:val="000000"/>
        </w:rPr>
      </w:pPr>
      <w:r w:rsidRPr="00337F32">
        <w:rPr>
          <w:rFonts w:eastAsia="Calibri"/>
          <w:color w:val="000000"/>
        </w:rPr>
        <w:t xml:space="preserve">The Council on Social Work Education (CSWE) keeps a directory that is used by programs for social work education that offers </w:t>
      </w:r>
      <w:r w:rsidRPr="00337F32" w:rsidR="00D322C8">
        <w:rPr>
          <w:rFonts w:eastAsia="Calibri"/>
          <w:color w:val="000000"/>
        </w:rPr>
        <w:t>online education facilities. The CSWE accepts that the lists for social wo</w:t>
      </w:r>
      <w:r w:rsidR="00C82AA2">
        <w:rPr>
          <w:rFonts w:eastAsia="Calibri"/>
          <w:color w:val="000000"/>
        </w:rPr>
        <w:t>rk programs cannot be exhausted</w:t>
      </w:r>
      <w:r w:rsidRPr="00337F32">
        <w:rPr>
          <w:rFonts w:eastAsia="Calibri"/>
          <w:color w:val="000000"/>
        </w:rPr>
        <w:t xml:space="preserve"> </w:t>
      </w:r>
      <w:r w:rsidRPr="00337F32" w:rsidR="00091AAC">
        <w:rPr>
          <w:rFonts w:eastAsia="Calibri"/>
          <w:color w:val="000000"/>
        </w:rPr>
        <w:t>(</w:t>
      </w:r>
      <w:r w:rsidRPr="00337F32" w:rsidR="007D59FA">
        <w:rPr>
          <w:color w:val="000000"/>
        </w:rPr>
        <w:t>Benneworth</w:t>
      </w:r>
      <w:r w:rsidRPr="00337F32" w:rsidR="007D59FA">
        <w:rPr>
          <w:color w:val="000000"/>
        </w:rPr>
        <w:t>, &amp; Jones, 2012).</w:t>
      </w:r>
      <w:r w:rsidRPr="00337F32" w:rsidR="00091AAC">
        <w:rPr>
          <w:color w:val="000000"/>
        </w:rPr>
        <w:t> </w:t>
      </w:r>
      <w:r w:rsidRPr="00337F32" w:rsidR="00D322C8">
        <w:rPr>
          <w:color w:val="000000"/>
        </w:rPr>
        <w:t xml:space="preserve">Research demonstrates that by late 2012 there were about bachelor of social work (BSW) and more than 20 masters of social work (MSW) programs recorded to provide adequate distance learning options. </w:t>
      </w:r>
      <w:r w:rsidRPr="00337F32" w:rsidR="00091AAC">
        <w:rPr>
          <w:color w:val="000000"/>
        </w:rPr>
        <w:t>Growing social problems, such as poverty, urbanization, and slum congestion, brought self-help groups and organizations together to address them. Eventually, petitions to have social education formalized were presented to various government organs on the grounds of its importance. During the final years of the 19</w:t>
      </w:r>
      <w:r w:rsidRPr="00337F32" w:rsidR="00091AAC">
        <w:rPr>
          <w:color w:val="000000"/>
          <w:vertAlign w:val="superscript"/>
        </w:rPr>
        <w:t>th</w:t>
      </w:r>
      <w:r w:rsidRPr="00337F32" w:rsidR="00091AAC">
        <w:rPr>
          <w:color w:val="000000"/>
        </w:rPr>
        <w:t xml:space="preserve"> century, these programs were accepted in different institutions of higher learning (</w:t>
      </w:r>
      <w:r w:rsidRPr="00337F32" w:rsidR="00091AAC">
        <w:rPr>
          <w:color w:val="000000"/>
          <w:highlight w:val="white"/>
        </w:rPr>
        <w:t>Greene, 2017).</w:t>
      </w:r>
      <w:r w:rsidRPr="00337F32" w:rsidR="00091AAC">
        <w:rPr>
          <w:color w:val="000000"/>
        </w:rPr>
        <w:t xml:space="preserve"> The first notable initiative was the collaboration between The New York College of Science and Columbia University, where they offered the first class on social work. Later, in 1904, in Boston, Simmons College joined with Harvard University and established the Boston School of Social Workers. Simmons was the first college to train social workers. By 1908, The Chicago School of Civics and Philanthropy was offering a full course on social work education. This earned it the name University of Chicago School of Social Service Administration (</w:t>
      </w:r>
      <w:r w:rsidRPr="00337F32" w:rsidR="00091AAC">
        <w:rPr>
          <w:color w:val="000000"/>
          <w:highlight w:val="white"/>
        </w:rPr>
        <w:t>Knott &amp; Scragg, 2016)</w:t>
      </w:r>
      <w:r w:rsidRPr="00337F32" w:rsidR="00091AAC">
        <w:rPr>
          <w:color w:val="000000"/>
        </w:rPr>
        <w:t>.</w:t>
      </w:r>
    </w:p>
    <w:p w:rsidR="00191A8C" w:rsidRPr="00337F32" w:rsidP="00337F32" w14:paraId="0BD3E1A7" w14:textId="26CEB6C7">
      <w:pPr>
        <w:pBdr>
          <w:top w:val="nil"/>
          <w:left w:val="nil"/>
          <w:bottom w:val="nil"/>
          <w:right w:val="nil"/>
          <w:between w:val="nil"/>
        </w:pBdr>
        <w:spacing w:after="160" w:line="480" w:lineRule="auto"/>
        <w:ind w:firstLine="720"/>
        <w:rPr>
          <w:color w:val="000000"/>
        </w:rPr>
      </w:pPr>
      <w:r w:rsidRPr="00337F32">
        <w:rPr>
          <w:color w:val="000000"/>
        </w:rPr>
        <w:t xml:space="preserve">There was a brief uncertainty in 1915 when Dr. Abraham Flexner at The National Conference of Charities and Corrections argued that social work could not be described as a </w:t>
      </w:r>
      <w:r w:rsidRPr="00337F32">
        <w:rPr>
          <w:color w:val="000000"/>
        </w:rPr>
        <w:t xml:space="preserve">profession due to is lack of specification in terms of knowledge, </w:t>
      </w:r>
      <w:r w:rsidRPr="00337F32" w:rsidR="00201D54">
        <w:rPr>
          <w:color w:val="000000"/>
        </w:rPr>
        <w:t>skills, and</w:t>
      </w:r>
      <w:r w:rsidRPr="00337F32">
        <w:rPr>
          <w:color w:val="000000"/>
        </w:rPr>
        <w:t xml:space="preserve"> practice in handling challenges affecting humanity. This led to professionalizing of this discipline through concentration on scientific methods as well as casework. In 1918, the American Association of Hospital Workers was launched as a way of improving the opportunities for formal education in the field of social work. In 1919, The American Association of Schools of Social Work (AASSW) was established as the Association of Training schools for Professional Social Workers. This aimed at establishing a scientific base for handling challenging behaviors and patients who experienced mental dysfunction. In 1932, AASSW wrote the procedures for accrediting social workers as an affiliate of the already existing America Association of Psychiatric Social Workers (AAPSW) and the American Association of Medical Social Workers (AAMSW) (</w:t>
      </w:r>
      <w:r w:rsidRPr="00337F32">
        <w:rPr>
          <w:color w:val="000000"/>
          <w:highlight w:val="white"/>
        </w:rPr>
        <w:t>Ramsay, 1988</w:t>
      </w:r>
      <w:r w:rsidRPr="00337F32">
        <w:rPr>
          <w:color w:val="000000"/>
        </w:rPr>
        <w:t>). In 1937, the National Association of Schools of Social Administration (NASA) was formed with the aim of controlling the membership in social work education programs in institutions of higher learning. They called for a general approach to forming and executing social work education. 
</w:t>
      </w:r>
    </w:p>
    <w:p w:rsidR="00191A8C" w:rsidRPr="00337F32" w:rsidP="00337F32" w14:paraId="5A8470EC" w14:textId="77777777">
      <w:pPr>
        <w:pBdr>
          <w:top w:val="nil"/>
          <w:left w:val="nil"/>
          <w:bottom w:val="nil"/>
          <w:right w:val="nil"/>
          <w:between w:val="nil"/>
        </w:pBdr>
        <w:spacing w:after="160" w:line="480" w:lineRule="auto"/>
        <w:ind w:firstLine="720"/>
        <w:rPr>
          <w:color w:val="000000"/>
        </w:rPr>
      </w:pPr>
      <w:r w:rsidRPr="00337F32">
        <w:rPr>
          <w:color w:val="000000"/>
        </w:rPr>
        <w:t>NASSA and AASSW joined with other local and regional associations to form the National Council on Social Work Education in 1946. In the wake of the 2</w:t>
      </w:r>
      <w:r w:rsidRPr="00337F32">
        <w:rPr>
          <w:color w:val="000000"/>
          <w:vertAlign w:val="superscript"/>
        </w:rPr>
        <w:t>nd</w:t>
      </w:r>
      <w:r w:rsidRPr="00337F32">
        <w:rPr>
          <w:color w:val="000000"/>
        </w:rPr>
        <w:t xml:space="preserve"> World War, the need for people with social work skills increased due to the high number of humanitarian needs, especially in handling war veterans. A task force was formed and recommended an umbrella association to deal with accreditation of social work education programs and practice. As a result, NASA and AASSW were disbanded in favor of the establishment of the Council on Social Work Education (CSWE) at the beginning of 1952 (Kendall, 2002). Its main aim was to develop comprehensive social education programs to address the needs of the United States as well as its territories and Canada. 
</w:t>
      </w:r>
    </w:p>
    <w:p w:rsidR="0017673B" w:rsidRPr="00C82AA2" w:rsidP="00337F32" w14:paraId="6B9F527D" w14:textId="53B7AD7C">
      <w:pPr>
        <w:spacing w:line="480" w:lineRule="auto"/>
        <w:rPr>
          <w:color w:val="000000"/>
        </w:rPr>
      </w:pPr>
      <w:r>
        <w:rPr>
          <w:color w:val="000000"/>
        </w:rPr>
        <w:tab/>
      </w:r>
      <w:r w:rsidRPr="00337F32" w:rsidR="00091AAC">
        <w:rPr>
          <w:color w:val="000000"/>
        </w:rPr>
        <w:t>The 60s saw an increase in social work after a 1964 declaration of the fight against poverty by President Johnson</w:t>
      </w:r>
      <w:r w:rsidRPr="00337F32" w:rsidR="00091AAC">
        <w:rPr>
          <w:rFonts w:eastAsia="Calibri"/>
          <w:color w:val="000000"/>
        </w:rPr>
        <w:t xml:space="preserve"> </w:t>
      </w:r>
      <w:r w:rsidRPr="00337F32" w:rsidR="007D59FA">
        <w:rPr>
          <w:rFonts w:eastAsia="Calibri"/>
          <w:color w:val="000000"/>
        </w:rPr>
        <w:t>(</w:t>
      </w:r>
      <w:r>
        <w:rPr>
          <w:color w:val="000000"/>
        </w:rPr>
        <w:t>Benneworth</w:t>
      </w:r>
      <w:r w:rsidRPr="00337F32" w:rsidR="007D59FA">
        <w:rPr>
          <w:color w:val="000000"/>
        </w:rPr>
        <w:t xml:space="preserve"> &amp; Jones, 2012).</w:t>
      </w:r>
      <w:r w:rsidRPr="00337F32" w:rsidR="00201D54">
        <w:rPr>
          <w:color w:val="000000"/>
        </w:rPr>
        <w:t xml:space="preserve"> The</w:t>
      </w:r>
      <w:r w:rsidRPr="00337F32" w:rsidR="00091AAC">
        <w:rPr>
          <w:color w:val="000000"/>
        </w:rPr>
        <w:t xml:space="preserve"> government recognized poverty as a social problem. Several measures such as Medicare, Department of Housing and Urban Development, the Economic Opportunity Act, Medicaid, the Older Americans Act, and the Office of Economic Opportunity were put in place to address the situation (Kendall, 2002). The 70s ushered in a new era in social work with an influx of social work education programs. During this period the nation experienced social unrest, which was attributed to a lack of proper reforms in social wor</w:t>
      </w:r>
      <w:r w:rsidRPr="00337F32">
        <w:rPr>
          <w:color w:val="000000"/>
        </w:rPr>
        <w:t>k (</w:t>
      </w:r>
      <w:r w:rsidRPr="00337F32">
        <w:t>Moore et al., 2015</w:t>
      </w:r>
      <w:r w:rsidRPr="00337F32">
        <w:rPr>
          <w:color w:val="000000"/>
        </w:rPr>
        <w:t>)</w:t>
      </w:r>
      <w:r>
        <w:rPr>
          <w:color w:val="000000"/>
        </w:rPr>
        <w:t xml:space="preserve">. </w:t>
      </w:r>
      <w:r w:rsidRPr="00337F32" w:rsidR="00091AAC">
        <w:rPr>
          <w:color w:val="000000"/>
        </w:rPr>
        <w:t xml:space="preserve">The situation seemed to </w:t>
      </w:r>
      <w:r w:rsidRPr="00337F32" w:rsidR="00091AAC">
        <w:rPr>
          <w:color w:val="000000"/>
        </w:rPr>
        <w:t>stagnate</w:t>
      </w:r>
      <w:r w:rsidRPr="00337F32" w:rsidR="00091AAC">
        <w:rPr>
          <w:color w:val="000000"/>
        </w:rPr>
        <w:t xml:space="preserve"> reforms and steps that had earlier been made. During this decade the Bachelor of Social Work (BSW) was introduced. The content was synchronized with the needs of society. This decade also experienced an increase in privatization of practices in the field of social work. </w:t>
      </w:r>
    </w:p>
    <w:p w:rsidR="00191A8C" w:rsidRPr="00337F32" w:rsidP="00337F32" w14:paraId="10931501" w14:textId="03E27F18">
      <w:pPr>
        <w:pBdr>
          <w:top w:val="nil"/>
          <w:left w:val="nil"/>
          <w:bottom w:val="nil"/>
          <w:right w:val="nil"/>
          <w:between w:val="nil"/>
        </w:pBdr>
        <w:spacing w:after="160" w:line="480" w:lineRule="auto"/>
        <w:ind w:firstLine="720"/>
        <w:rPr>
          <w:b/>
          <w:color w:val="000000"/>
        </w:rPr>
      </w:pPr>
      <w:r w:rsidRPr="00337F32">
        <w:rPr>
          <w:color w:val="000000"/>
        </w:rPr>
        <w:t>During the last decade of the 20</w:t>
      </w:r>
      <w:r w:rsidRPr="00337F32">
        <w:rPr>
          <w:color w:val="000000"/>
          <w:vertAlign w:val="superscript"/>
        </w:rPr>
        <w:t>th</w:t>
      </w:r>
      <w:r w:rsidRPr="00337F32">
        <w:rPr>
          <w:color w:val="000000"/>
        </w:rPr>
        <w:t xml:space="preserve"> century, the government has engaged non-governmental organizations and private entities in contributing to social welfare </w:t>
      </w:r>
      <w:r w:rsidRPr="00337F32" w:rsidR="00201D54">
        <w:rPr>
          <w:color w:val="000000"/>
        </w:rPr>
        <w:t>programs. The</w:t>
      </w:r>
      <w:r w:rsidRPr="00337F32">
        <w:rPr>
          <w:color w:val="000000"/>
        </w:rPr>
        <w:t xml:space="preserve"> controversial 1996 welfare reform bill, which provided for temporary aid to needy families, was approved. More funds were </w:t>
      </w:r>
      <w:r w:rsidRPr="00337F32" w:rsidR="00201D54">
        <w:rPr>
          <w:color w:val="000000"/>
        </w:rPr>
        <w:t>available to</w:t>
      </w:r>
      <w:r w:rsidRPr="00337F32">
        <w:rPr>
          <w:color w:val="000000"/>
        </w:rPr>
        <w:t xml:space="preserve"> schools providing social work education programs, especially those concentrating on areas of mental health, child welfare, domestic violence and aging. The bill also set conditions for assistance to families in need. The millennium marked an increased in the number of students taking social work education programs</w:t>
      </w:r>
      <w:r w:rsidRPr="00337F32" w:rsidR="0017673B">
        <w:rPr>
          <w:rFonts w:eastAsia="Calibri"/>
          <w:color w:val="000000"/>
        </w:rPr>
        <w:t>.</w:t>
      </w:r>
      <w:r w:rsidRPr="00337F32">
        <w:rPr>
          <w:color w:val="000000"/>
        </w:rPr>
        <w:t xml:space="preserve"> This field has been diversified to cover large areas based on specific needs. Bills have been passed to adjust to the societal needs in this field. With the invention of technology, social work education programs have not been left behind. Several programs are offered through online platforms as well as practice (Turner, 2017).  </w:t>
      </w:r>
    </w:p>
    <w:p w:rsidR="00191A8C" w:rsidRPr="00337F32" w:rsidP="00337F32" w14:paraId="7599767E" w14:textId="779FEA60">
      <w:pPr>
        <w:pBdr>
          <w:top w:val="nil"/>
          <w:left w:val="nil"/>
          <w:bottom w:val="nil"/>
          <w:right w:val="nil"/>
          <w:between w:val="nil"/>
        </w:pBdr>
        <w:spacing w:after="160" w:line="480" w:lineRule="auto"/>
        <w:ind w:firstLine="720"/>
        <w:rPr>
          <w:color w:val="000000"/>
        </w:rPr>
      </w:pPr>
      <w:r w:rsidRPr="00337F32">
        <w:rPr>
          <w:color w:val="000000"/>
        </w:rPr>
        <w:t>There have been many changes in social work education since teaching is no longer traditional. The Internet of Things (IoT) has dramatically modified the learning process by introducing e-learning programs. The online social work education journey started at Florida State University in 2002, where they offered the first MSW program through distance learning education</w:t>
      </w:r>
      <w:r w:rsidRPr="00337F32" w:rsidR="0017673B">
        <w:rPr>
          <w:color w:val="000000"/>
        </w:rPr>
        <w:t>.</w:t>
      </w:r>
    </w:p>
    <w:p w:rsidR="00191A8C" w:rsidRPr="00337F32" w:rsidP="00337F32" w14:paraId="1B63A348" w14:textId="62B561D3">
      <w:pPr>
        <w:keepNext/>
        <w:keepLines/>
        <w:pBdr>
          <w:top w:val="nil"/>
          <w:left w:val="nil"/>
          <w:bottom w:val="nil"/>
          <w:right w:val="nil"/>
          <w:between w:val="nil"/>
        </w:pBdr>
        <w:spacing w:before="240" w:line="480" w:lineRule="auto"/>
        <w:rPr>
          <w:b/>
          <w:color w:val="000000"/>
        </w:rPr>
      </w:pPr>
      <w:r w:rsidRPr="00337F32">
        <w:rPr>
          <w:b/>
          <w:color w:val="000000"/>
        </w:rPr>
        <w:t>The Relevance of Social Work</w:t>
      </w:r>
    </w:p>
    <w:p w:rsidR="00500E0C" w:rsidRPr="00337F32" w:rsidP="00337F32" w14:paraId="5EEEF3FC" w14:textId="77777777">
      <w:pPr>
        <w:spacing w:line="480" w:lineRule="auto"/>
        <w:ind w:firstLine="720"/>
      </w:pPr>
      <w:r w:rsidRPr="00337F32">
        <w:t>Social work programs have undisputable relevance in providing degrees online, including developing of a huge enrolment catchment area, hence giving a golden opportunity to students in remote locations like the rural sections of the states and entry into social work education (Sun &amp; Rueda, 2012). Moreover, social work is relevant in the modern world as it allows students facing high mobility risks such as the spouse who has a family to manage and active duty military men and women to get high-quality education. 
</w:t>
      </w:r>
    </w:p>
    <w:p w:rsidR="00500E0C" w:rsidRPr="00C82AA2" w:rsidP="00C82AA2" w14:paraId="6376C84C" w14:textId="299079CF">
      <w:pPr>
        <w:spacing w:line="480" w:lineRule="auto"/>
        <w:ind w:firstLine="720"/>
      </w:pPr>
      <w:r w:rsidRPr="00337F32">
        <w:t>Furthermore, the students have the opportunity to customize their education programs by enrolling for online programs that offer students’ specialized curriculum regardless of the physical location where l</w:t>
      </w:r>
      <w:r w:rsidR="00C82AA2">
        <w:t xml:space="preserve">earning is taking place. Moore </w:t>
      </w:r>
      <w:r w:rsidRPr="00337F32">
        <w:t>(2013) report</w:t>
      </w:r>
      <w:r w:rsidR="00C82AA2">
        <w:t>s</w:t>
      </w:r>
      <w:r w:rsidRPr="00337F32">
        <w:t xml:space="preserve"> that social work education is relevant because it allows students who have the desire to work on full-time basis or have full-time duties of caregiving to build a strong and flexible learning experience. Online social </w:t>
      </w:r>
      <w:r w:rsidRPr="00337F32">
        <w:t>education provide</w:t>
      </w:r>
      <w:r w:rsidRPr="00337F32">
        <w:t xml:space="preserve">s access to different diverse groups and populations that make it possible to enrich the virtual classroom. </w:t>
      </w:r>
      <w:r w:rsidR="00C82AA2">
        <w:rPr>
          <w:color w:val="000000"/>
          <w:highlight w:val="white"/>
        </w:rPr>
        <w:t>Turner</w:t>
      </w:r>
      <w:r w:rsidRPr="00337F32">
        <w:rPr>
          <w:color w:val="000000"/>
          <w:highlight w:val="white"/>
        </w:rPr>
        <w:t xml:space="preserve"> (2017)</w:t>
      </w:r>
      <w:r w:rsidRPr="00337F32">
        <w:rPr>
          <w:color w:val="000000"/>
        </w:rPr>
        <w:t xml:space="preserve"> posits that </w:t>
      </w:r>
      <w:r w:rsidRPr="00337F32">
        <w:t xml:space="preserve">social work education provides a huge pool of learners which in turn leads to growth in tuition dollars for the university and the social work unit. The tuition dollars that the pools of students pay promotes backfills for cuts in institutional budgets, higher discretionary money that can be used for devolving institutional infrastructure or for advancing programs. According to </w:t>
      </w:r>
      <w:r w:rsidRPr="00337F32">
        <w:rPr>
          <w:color w:val="222222"/>
          <w:shd w:val="clear" w:color="auto" w:fill="FFFFFF"/>
        </w:rPr>
        <w:t>Boling</w:t>
      </w:r>
      <w:r w:rsidR="00C82AA2">
        <w:t xml:space="preserve"> et al.</w:t>
      </w:r>
      <w:r w:rsidRPr="00337F32">
        <w:t xml:space="preserve"> (</w:t>
      </w:r>
      <w:r w:rsidRPr="00337F32">
        <w:rPr>
          <w:color w:val="222222"/>
          <w:shd w:val="clear" w:color="auto" w:fill="FFFFFF"/>
        </w:rPr>
        <w:t>2012</w:t>
      </w:r>
      <w:r w:rsidRPr="00337F32">
        <w:t>)</w:t>
      </w:r>
      <w:r w:rsidR="00C82AA2">
        <w:t>,</w:t>
      </w:r>
      <w:r w:rsidRPr="00337F32">
        <w:t xml:space="preserve"> online social work </w:t>
      </w:r>
      <w:r w:rsidRPr="00337F32">
        <w:t xml:space="preserve">education remains to be a relevant choice for institutions because it enhances efficient use of physical position of the campus. </w:t>
      </w:r>
    </w:p>
    <w:p w:rsidR="00191A8C" w:rsidRPr="00337F32" w:rsidP="00337F32" w14:paraId="50FD4DD3" w14:textId="0A294852">
      <w:pPr>
        <w:pBdr>
          <w:top w:val="nil"/>
          <w:left w:val="nil"/>
          <w:bottom w:val="nil"/>
          <w:right w:val="nil"/>
          <w:between w:val="nil"/>
        </w:pBdr>
        <w:spacing w:after="160" w:line="480" w:lineRule="auto"/>
        <w:rPr>
          <w:b/>
          <w:color w:val="000000"/>
        </w:rPr>
      </w:pPr>
      <w:r w:rsidRPr="00337F32">
        <w:rPr>
          <w:b/>
          <w:color w:val="000000"/>
        </w:rPr>
        <w:t>Purpose of the Study</w:t>
      </w:r>
    </w:p>
    <w:p w:rsidR="00191A8C" w:rsidRPr="00337F32" w:rsidP="00337F32" w14:paraId="1E9E2E49" w14:textId="33C21D14">
      <w:pPr>
        <w:pBdr>
          <w:top w:val="nil"/>
          <w:left w:val="nil"/>
          <w:bottom w:val="nil"/>
          <w:right w:val="nil"/>
          <w:between w:val="nil"/>
        </w:pBdr>
        <w:spacing w:after="160" w:line="480" w:lineRule="auto"/>
        <w:ind w:firstLine="720"/>
        <w:rPr>
          <w:color w:val="000000"/>
        </w:rPr>
      </w:pPr>
      <w:r w:rsidRPr="00337F32">
        <w:rPr>
          <w:color w:val="000000"/>
        </w:rPr>
        <w:t xml:space="preserve">This study focuses on the online student in the Master of Social </w:t>
      </w:r>
      <w:r w:rsidRPr="00337F32" w:rsidR="00500E0C">
        <w:rPr>
          <w:color w:val="000000"/>
        </w:rPr>
        <w:t>Work (</w:t>
      </w:r>
      <w:r w:rsidRPr="00337F32">
        <w:rPr>
          <w:color w:val="000000"/>
        </w:rPr>
        <w:t xml:space="preserve">MSW) program. It specifically addresses the questions of whether the online study fosters a sense of belonging and inclusion.  A sense of belonging is the general feeling of confidence that social workers normally have while recognizing that they are in </w:t>
      </w:r>
      <w:bookmarkStart w:id="1" w:name="_GoBack"/>
      <w:bookmarkEnd w:id="1"/>
      <w:r w:rsidRPr="00337F32">
        <w:rPr>
          <w:color w:val="000000"/>
        </w:rPr>
        <w:t>social work profession. Through the sense of belonging, social workers are affirmed by the role they play in a community, helping solve some problems that are identified in the community (</w:t>
      </w:r>
      <w:r w:rsidRPr="00337F32">
        <w:rPr>
          <w:color w:val="000000"/>
          <w:highlight w:val="white"/>
        </w:rPr>
        <w:t>Rubin &amp; Babbie, 2016)</w:t>
      </w:r>
      <w:r w:rsidRPr="00337F32">
        <w:rPr>
          <w:color w:val="000000"/>
        </w:rPr>
        <w:t xml:space="preserve">. The positive attitude among social workers, therefore, enables them to be easily </w:t>
      </w:r>
      <w:r w:rsidRPr="00337F32" w:rsidR="00500E0C">
        <w:rPr>
          <w:color w:val="000000"/>
        </w:rPr>
        <w:t>approachable by</w:t>
      </w:r>
      <w:r w:rsidRPr="00337F32">
        <w:rPr>
          <w:color w:val="000000"/>
        </w:rPr>
        <w:t xml:space="preserve"> members of the communities that they serve. </w:t>
      </w:r>
    </w:p>
    <w:p w:rsidR="00191A8C" w:rsidRPr="00337F32" w:rsidP="00C82AA2" w14:paraId="1BE95D5E" w14:textId="4627D2B0">
      <w:pPr>
        <w:pBdr>
          <w:top w:val="nil"/>
          <w:left w:val="nil"/>
          <w:bottom w:val="nil"/>
          <w:right w:val="nil"/>
          <w:between w:val="nil"/>
        </w:pBdr>
        <w:spacing w:after="160" w:line="480" w:lineRule="auto"/>
        <w:ind w:firstLine="720"/>
        <w:rPr>
          <w:color w:val="000000"/>
        </w:rPr>
      </w:pPr>
      <w:r w:rsidRPr="00337F32">
        <w:rPr>
          <w:color w:val="000000"/>
        </w:rPr>
        <w:t xml:space="preserve"> Although this study tar</w:t>
      </w:r>
      <w:r w:rsidR="00C82AA2">
        <w:rPr>
          <w:color w:val="000000"/>
        </w:rPr>
        <w:t>gets online MSW degree programs</w:t>
      </w:r>
      <w:r w:rsidRPr="00337F32">
        <w:rPr>
          <w:color w:val="000000"/>
        </w:rPr>
        <w:t xml:space="preserve"> and how social workers evaluate the effectiveness and </w:t>
      </w:r>
      <w:r w:rsidR="00C82AA2">
        <w:rPr>
          <w:color w:val="000000"/>
        </w:rPr>
        <w:t xml:space="preserve">success of online MSW programs </w:t>
      </w:r>
      <w:r w:rsidRPr="00337F32">
        <w:rPr>
          <w:color w:val="000000"/>
        </w:rPr>
        <w:t xml:space="preserve">the findings will likely have implications for online graduate study in </w:t>
      </w:r>
      <w:r w:rsidRPr="00337F32" w:rsidR="00201D54">
        <w:rPr>
          <w:color w:val="000000"/>
        </w:rPr>
        <w:t>general. These</w:t>
      </w:r>
      <w:r w:rsidRPr="00337F32">
        <w:rPr>
          <w:color w:val="000000"/>
        </w:rPr>
        <w:t xml:space="preserve"> questions will be addressed:</w:t>
      </w:r>
    </w:p>
    <w:p w:rsidR="00191A8C" w:rsidRPr="00337F32" w:rsidP="00337F32" w14:paraId="62AFA415" w14:textId="77777777">
      <w:pPr>
        <w:pBdr>
          <w:top w:val="nil"/>
          <w:left w:val="nil"/>
          <w:bottom w:val="nil"/>
          <w:right w:val="nil"/>
          <w:between w:val="nil"/>
        </w:pBdr>
        <w:spacing w:line="480" w:lineRule="auto"/>
        <w:ind w:firstLine="720"/>
        <w:rPr>
          <w:color w:val="000000"/>
        </w:rPr>
      </w:pPr>
      <w:r w:rsidRPr="00337F32">
        <w:rPr>
          <w:color w:val="000000"/>
        </w:rPr>
        <w:t xml:space="preserve">There some challenges that online social education programs may experience. These challenges include passive students since most education is self-directed. Therefore, to ensure that online students still have a sense of belonging in the MSW program is to make certain that there is quality, breadth, and depth of learning </w:t>
      </w:r>
      <w:r w:rsidRPr="00337F32">
        <w:rPr>
          <w:color w:val="000000"/>
          <w:highlight w:val="white"/>
        </w:rPr>
        <w:t>(Hockridge, 2013)</w:t>
      </w:r>
      <w:r w:rsidRPr="00337F32">
        <w:rPr>
          <w:color w:val="000000"/>
        </w:rPr>
        <w:t>. There is also the instruction strategy, which if deemed poor, may result in a low sense of belonging among the online social work students, as they feel the level of education is inadequate</w:t>
      </w:r>
      <w:r w:rsidRPr="00337F32">
        <w:rPr>
          <w:color w:val="000000"/>
          <w:highlight w:val="white"/>
        </w:rPr>
        <w:t xml:space="preserve"> (Hockridge, 2013)</w:t>
      </w:r>
      <w:r w:rsidRPr="00337F32">
        <w:rPr>
          <w:color w:val="000000"/>
        </w:rPr>
        <w:t>.</w:t>
      </w:r>
    </w:p>
    <w:p w:rsidR="00191A8C" w:rsidRPr="00337F32" w:rsidP="00337F32" w14:paraId="073697AB" w14:textId="77777777">
      <w:pPr>
        <w:pBdr>
          <w:top w:val="nil"/>
          <w:left w:val="nil"/>
          <w:bottom w:val="nil"/>
          <w:right w:val="nil"/>
          <w:between w:val="nil"/>
        </w:pBdr>
        <w:spacing w:line="480" w:lineRule="auto"/>
        <w:ind w:firstLine="720"/>
        <w:rPr>
          <w:color w:val="000000"/>
        </w:rPr>
      </w:pPr>
      <w:r w:rsidRPr="00337F32">
        <w:rPr>
          <w:color w:val="000000"/>
        </w:rPr>
        <w:t xml:space="preserve">A sense of belonging within online programs is deemed important for making social workers easily identify with their profession. The sense of belonging normally makes such people establish the specific ways in which they might be of benefit to the profession (Holosko, </w:t>
      </w:r>
      <w:r w:rsidRPr="00337F32">
        <w:rPr>
          <w:color w:val="000000"/>
        </w:rPr>
        <w:t xml:space="preserve">2015). Such individuals also seek to establish appropriate ways in which they might uplift one another. </w:t>
      </w:r>
    </w:p>
    <w:p w:rsidR="00191A8C" w:rsidRPr="00337F32" w:rsidP="00337F32" w14:paraId="54652D06" w14:textId="77777777">
      <w:pPr>
        <w:keepNext/>
        <w:keepLines/>
        <w:pBdr>
          <w:top w:val="nil"/>
          <w:left w:val="nil"/>
          <w:bottom w:val="nil"/>
          <w:right w:val="nil"/>
          <w:between w:val="nil"/>
        </w:pBdr>
        <w:spacing w:before="240" w:line="480" w:lineRule="auto"/>
        <w:jc w:val="center"/>
        <w:rPr>
          <w:b/>
          <w:color w:val="000000"/>
        </w:rPr>
      </w:pPr>
      <w:r w:rsidRPr="00337F32">
        <w:rPr>
          <w:b/>
          <w:color w:val="000000"/>
        </w:rPr>
        <w:t>Theoretical Framework</w:t>
      </w:r>
    </w:p>
    <w:p w:rsidR="00191A8C" w:rsidRPr="00337F32" w:rsidP="00337F32" w14:paraId="487D17F8" w14:textId="7BC02365">
      <w:pPr>
        <w:pBdr>
          <w:top w:val="nil"/>
          <w:left w:val="nil"/>
          <w:bottom w:val="nil"/>
          <w:right w:val="nil"/>
          <w:between w:val="nil"/>
        </w:pBdr>
        <w:spacing w:line="480" w:lineRule="auto"/>
        <w:ind w:firstLine="720"/>
        <w:rPr>
          <w:color w:val="000000"/>
        </w:rPr>
      </w:pPr>
      <w:r w:rsidRPr="00337F32">
        <w:rPr>
          <w:color w:val="000000"/>
        </w:rPr>
        <w:t xml:space="preserve">Various theories are applicable with regard to social work education. They include the adult learning theory of andragogy, Kolb's experiential learning theory, and the social exchange </w:t>
      </w:r>
      <w:r w:rsidRPr="00337F32" w:rsidR="00201D54">
        <w:rPr>
          <w:color w:val="000000"/>
        </w:rPr>
        <w:t>theory.</w:t>
      </w:r>
    </w:p>
    <w:p w:rsidR="00191A8C" w:rsidRPr="00337F32" w:rsidP="00337F32" w14:paraId="020D684E" w14:textId="77777777">
      <w:pPr>
        <w:pStyle w:val="Heading2"/>
        <w:spacing w:line="480" w:lineRule="auto"/>
        <w:rPr>
          <w:rFonts w:ascii="Times New Roman" w:eastAsia="Times New Roman" w:hAnsi="Times New Roman" w:cs="Times New Roman"/>
          <w:b/>
          <w:color w:val="000000"/>
          <w:sz w:val="24"/>
          <w:szCs w:val="24"/>
        </w:rPr>
      </w:pPr>
      <w:r w:rsidRPr="00337F32">
        <w:rPr>
          <w:rFonts w:ascii="Times New Roman" w:eastAsia="Times New Roman" w:hAnsi="Times New Roman" w:cs="Times New Roman"/>
          <w:b/>
          <w:color w:val="000000"/>
          <w:sz w:val="24"/>
          <w:szCs w:val="24"/>
        </w:rPr>
        <w:t>The Adult Learning Theory of Andragogy</w:t>
      </w:r>
    </w:p>
    <w:p w:rsidR="00191A8C" w:rsidRPr="00337F32" w:rsidP="00337F32" w14:paraId="57671854" w14:textId="5630193A">
      <w:pPr>
        <w:pBdr>
          <w:top w:val="nil"/>
          <w:left w:val="nil"/>
          <w:bottom w:val="nil"/>
          <w:right w:val="nil"/>
          <w:between w:val="nil"/>
        </w:pBdr>
        <w:spacing w:line="480" w:lineRule="auto"/>
        <w:ind w:firstLine="720"/>
        <w:rPr>
          <w:color w:val="000000"/>
        </w:rPr>
      </w:pPr>
      <w:r w:rsidRPr="00337F32">
        <w:rPr>
          <w:color w:val="000000"/>
        </w:rPr>
        <w:t>The adult learning theory of andragogy was developed by Malcolm Shepherd Knowles. The theory applies five assumptions used in adult learning (</w:t>
      </w:r>
      <w:r w:rsidRPr="00337F32">
        <w:rPr>
          <w:color w:val="000000"/>
          <w:highlight w:val="white"/>
        </w:rPr>
        <w:t>Pyles &amp; Adam, 2015</w:t>
      </w:r>
      <w:r w:rsidRPr="00337F32" w:rsidR="00201D54">
        <w:rPr>
          <w:color w:val="000000"/>
          <w:highlight w:val="white"/>
        </w:rPr>
        <w:t>).</w:t>
      </w:r>
      <w:r w:rsidRPr="00337F32" w:rsidR="00201D54">
        <w:rPr>
          <w:color w:val="000000"/>
        </w:rPr>
        <w:t xml:space="preserve"> One</w:t>
      </w:r>
      <w:r w:rsidRPr="00337F32">
        <w:rPr>
          <w:color w:val="000000"/>
        </w:rPr>
        <w:t xml:space="preserve"> of the assumptions of this theory </w:t>
      </w:r>
      <w:r w:rsidRPr="00337F32" w:rsidR="00201D54">
        <w:rPr>
          <w:color w:val="000000"/>
        </w:rPr>
        <w:t>is self</w:t>
      </w:r>
      <w:r w:rsidRPr="00337F32">
        <w:rPr>
          <w:color w:val="000000"/>
        </w:rPr>
        <w:t>-concept. Self-concept relates to the idea that as a human being grows, he develops from being a self-independent personality to one who is self-directed (</w:t>
      </w:r>
      <w:r w:rsidRPr="00337F32" w:rsidR="00201D54">
        <w:rPr>
          <w:color w:val="222222"/>
          <w:shd w:val="clear" w:color="auto" w:fill="FFFFFF"/>
        </w:rPr>
        <w:t>Power, 2013</w:t>
      </w:r>
      <w:r w:rsidRPr="00337F32">
        <w:rPr>
          <w:color w:val="000000"/>
        </w:rPr>
        <w:t xml:space="preserve">). Therefore, through social work education, a person becomes more oriented to identify the specific problems within the community. </w:t>
      </w:r>
    </w:p>
    <w:p w:rsidR="00191A8C" w:rsidRPr="00337F32" w:rsidP="00337F32" w14:paraId="291D3DDD" w14:textId="77777777">
      <w:pPr>
        <w:pBdr>
          <w:top w:val="nil"/>
          <w:left w:val="nil"/>
          <w:bottom w:val="nil"/>
          <w:right w:val="nil"/>
          <w:between w:val="nil"/>
        </w:pBdr>
        <w:spacing w:line="480" w:lineRule="auto"/>
        <w:ind w:firstLine="720"/>
        <w:rPr>
          <w:color w:val="000000"/>
        </w:rPr>
      </w:pPr>
      <w:r w:rsidRPr="00337F32">
        <w:rPr>
          <w:color w:val="000000"/>
        </w:rPr>
        <w:t>The assumption of readiness to learn is also crucial in enabling social work students to be more willing to gather insights about the profession that they are undertaking (</w:t>
      </w:r>
      <w:r w:rsidRPr="00337F32">
        <w:rPr>
          <w:color w:val="000000"/>
          <w:highlight w:val="white"/>
        </w:rPr>
        <w:t>Merriam, 2018)</w:t>
      </w:r>
      <w:r w:rsidRPr="00337F32">
        <w:rPr>
          <w:color w:val="000000"/>
        </w:rPr>
        <w:t xml:space="preserve">. Online learning enables students of social work to have quality learning experience. It exposes them to a wide variety of resources that they can use to improve upon their skills. The online experience, therefore, plays a major role in improving the readiness of students to becoming ready to learn. </w:t>
      </w:r>
    </w:p>
    <w:p w:rsidR="00191A8C" w:rsidRPr="00337F32" w:rsidP="00337F32" w14:paraId="61DB0E9D" w14:textId="77777777">
      <w:pPr>
        <w:pBdr>
          <w:top w:val="nil"/>
          <w:left w:val="nil"/>
          <w:bottom w:val="nil"/>
          <w:right w:val="nil"/>
          <w:between w:val="nil"/>
        </w:pBdr>
        <w:spacing w:line="480" w:lineRule="auto"/>
        <w:ind w:firstLine="720"/>
        <w:rPr>
          <w:color w:val="000000"/>
        </w:rPr>
      </w:pPr>
      <w:r w:rsidRPr="00337F32">
        <w:rPr>
          <w:color w:val="000000"/>
        </w:rPr>
        <w:t xml:space="preserve">The third assumption relates to the orientation to learning. It details the attitude that people have in regard to social work. Through the application of online learning in social work, it helps the students become more oriented to solving the various problems that they identify in their communities. Students also determine that social work is an important concept as it </w:t>
      </w:r>
      <w:r w:rsidRPr="00337F32">
        <w:rPr>
          <w:color w:val="000000"/>
        </w:rPr>
        <w:t>improves the community (</w:t>
      </w:r>
      <w:r w:rsidRPr="00337F32">
        <w:rPr>
          <w:color w:val="000000"/>
          <w:highlight w:val="white"/>
        </w:rPr>
        <w:t>Ozuah, 2016).</w:t>
      </w:r>
      <w:r w:rsidRPr="00337F32">
        <w:rPr>
          <w:color w:val="000000"/>
        </w:rPr>
        <w:t xml:space="preserve"> Students also become more inquisitive in regard to the specific measures that they may take to ensure that they are of assistance to their communities once they become full-fledged professionals. As a result, they act as a significant encouragement to others who are in the process of joining the profession. </w:t>
      </w:r>
    </w:p>
    <w:p w:rsidR="00191A8C" w:rsidRPr="00337F32" w:rsidP="00337F32" w14:paraId="2BCC9A3E" w14:textId="170E8E93">
      <w:pPr>
        <w:pBdr>
          <w:top w:val="nil"/>
          <w:left w:val="nil"/>
          <w:bottom w:val="nil"/>
          <w:right w:val="nil"/>
          <w:between w:val="nil"/>
        </w:pBdr>
        <w:spacing w:line="480" w:lineRule="auto"/>
        <w:ind w:firstLine="720"/>
        <w:rPr>
          <w:color w:val="000000"/>
        </w:rPr>
      </w:pPr>
      <w:r w:rsidRPr="00337F32">
        <w:rPr>
          <w:color w:val="000000"/>
        </w:rPr>
        <w:t xml:space="preserve">The fourth assumption of Andrology is the motivation to learn. Online learning is useful in social work education as it builds upon the motivation of students to learn different </w:t>
      </w:r>
      <w:r w:rsidRPr="00337F32" w:rsidR="00201D54">
        <w:rPr>
          <w:color w:val="000000"/>
        </w:rPr>
        <w:t>concepts (</w:t>
      </w:r>
      <w:r w:rsidRPr="00337F32">
        <w:rPr>
          <w:color w:val="000000"/>
          <w:highlight w:val="white"/>
        </w:rPr>
        <w:t xml:space="preserve">Robbins et al., 2005). </w:t>
      </w:r>
      <w:r w:rsidRPr="00337F32">
        <w:rPr>
          <w:color w:val="000000"/>
        </w:rPr>
        <w:t xml:space="preserve">Learning through a new experience, as opposed to the traditional classroom method, the students identify with the idea that they can more objectively compare different </w:t>
      </w:r>
      <w:r w:rsidRPr="00337F32" w:rsidR="00201D54">
        <w:rPr>
          <w:color w:val="000000"/>
        </w:rPr>
        <w:t>principles. Online</w:t>
      </w:r>
      <w:r w:rsidRPr="00337F32">
        <w:rPr>
          <w:color w:val="000000"/>
        </w:rPr>
        <w:t xml:space="preserve"> learning in social work permits students to more readily gain access to a wide range of ideas that the</w:t>
      </w:r>
      <w:r w:rsidR="00C82AA2">
        <w:rPr>
          <w:color w:val="000000"/>
        </w:rPr>
        <w:t xml:space="preserve">y may be put to use on the job </w:t>
      </w:r>
      <w:r w:rsidRPr="00337F32">
        <w:rPr>
          <w:color w:val="000000"/>
        </w:rPr>
        <w:t>(</w:t>
      </w:r>
      <w:r w:rsidRPr="00337F32">
        <w:rPr>
          <w:color w:val="000000"/>
        </w:rPr>
        <w:t>Popple</w:t>
      </w:r>
      <w:r w:rsidRPr="00337F32">
        <w:rPr>
          <w:color w:val="000000"/>
        </w:rPr>
        <w:t>,</w:t>
      </w:r>
      <w:r w:rsidR="00C82AA2">
        <w:rPr>
          <w:color w:val="000000"/>
        </w:rPr>
        <w:t xml:space="preserve"> </w:t>
      </w:r>
      <w:r w:rsidRPr="00337F32">
        <w:rPr>
          <w:color w:val="000000"/>
        </w:rPr>
        <w:t>2011).</w:t>
      </w:r>
    </w:p>
    <w:p w:rsidR="00191A8C" w:rsidRPr="00C82AA2" w:rsidP="00C82AA2" w14:paraId="10147F25" w14:textId="24804F02">
      <w:pPr>
        <w:pStyle w:val="Heading2"/>
        <w:spacing w:line="480" w:lineRule="auto"/>
        <w:rPr>
          <w:rFonts w:ascii="Times New Roman" w:eastAsia="Times New Roman" w:hAnsi="Times New Roman" w:cs="Times New Roman"/>
          <w:b/>
          <w:color w:val="000000"/>
          <w:sz w:val="24"/>
          <w:szCs w:val="24"/>
        </w:rPr>
      </w:pPr>
      <w:r w:rsidRPr="00337F32">
        <w:rPr>
          <w:rFonts w:ascii="Times New Roman" w:eastAsia="Times New Roman" w:hAnsi="Times New Roman" w:cs="Times New Roman"/>
          <w:b/>
          <w:color w:val="000000"/>
          <w:sz w:val="24"/>
          <w:szCs w:val="24"/>
        </w:rPr>
        <w:t>Social Exchange Theory</w:t>
      </w:r>
    </w:p>
    <w:p w:rsidR="00191A8C" w:rsidRPr="00337F32" w:rsidP="00337F32" w14:paraId="7D5E6DAD" w14:textId="2127FD9A">
      <w:pPr>
        <w:pBdr>
          <w:top w:val="nil"/>
          <w:left w:val="nil"/>
          <w:bottom w:val="nil"/>
          <w:right w:val="nil"/>
          <w:between w:val="nil"/>
        </w:pBdr>
        <w:spacing w:line="480" w:lineRule="auto"/>
        <w:ind w:firstLine="720"/>
        <w:rPr>
          <w:color w:val="000000"/>
        </w:rPr>
      </w:pPr>
      <w:r w:rsidRPr="00337F32">
        <w:rPr>
          <w:color w:val="000000"/>
        </w:rPr>
        <w:t>The social exchange theory is also imperative in regard to online learning in social work. The theory is built on the idea that social behavior is normally an effect of an exchange process. Through the exchange, people typically seek to maximize the positive outcomes while at the same time cutting out the adverse effects. In online learning, students are likely to rely more on online media for acquiring information about the subject matter that they are being taught (</w:t>
      </w:r>
      <w:r w:rsidRPr="00337F32">
        <w:rPr>
          <w:color w:val="000000"/>
          <w:highlight w:val="white"/>
        </w:rPr>
        <w:t>Cropanzan et al., 2017)</w:t>
      </w:r>
      <w:r w:rsidRPr="00337F32">
        <w:rPr>
          <w:color w:val="000000"/>
        </w:rPr>
        <w:t xml:space="preserve">. As a </w:t>
      </w:r>
      <w:r w:rsidRPr="00337F32" w:rsidR="00201D54">
        <w:rPr>
          <w:color w:val="000000"/>
        </w:rPr>
        <w:t>result, learners</w:t>
      </w:r>
      <w:r w:rsidRPr="00337F32">
        <w:rPr>
          <w:color w:val="000000"/>
        </w:rPr>
        <w:t xml:space="preserve"> analyze the content provided within the online modules more. Online social work education also enables learners to avoid the waste of time that normally characterizes traditional classes.</w:t>
      </w:r>
    </w:p>
    <w:p w:rsidR="00191A8C" w:rsidRPr="00337F32" w:rsidP="00337F32" w14:paraId="2AA291BE" w14:textId="0C8BD52B">
      <w:pPr>
        <w:pBdr>
          <w:top w:val="nil"/>
          <w:left w:val="nil"/>
          <w:bottom w:val="nil"/>
          <w:right w:val="nil"/>
          <w:between w:val="nil"/>
        </w:pBdr>
        <w:spacing w:line="480" w:lineRule="auto"/>
        <w:ind w:firstLine="720"/>
        <w:rPr>
          <w:color w:val="000000"/>
        </w:rPr>
      </w:pPr>
      <w:r w:rsidRPr="00337F32">
        <w:rPr>
          <w:color w:val="000000"/>
        </w:rPr>
        <w:t xml:space="preserve"> The social exchange theory looks at research studies and the theoretical a</w:t>
      </w:r>
      <w:r w:rsidR="00C82AA2">
        <w:rPr>
          <w:color w:val="000000"/>
        </w:rPr>
        <w:t xml:space="preserve">pproach to social conformity. </w:t>
      </w:r>
      <w:r w:rsidRPr="00337F32">
        <w:rPr>
          <w:color w:val="000000"/>
        </w:rPr>
        <w:t xml:space="preserve">Online social work </w:t>
      </w:r>
      <w:r w:rsidRPr="00337F32" w:rsidR="00201D54">
        <w:rPr>
          <w:color w:val="000000"/>
        </w:rPr>
        <w:t>students can</w:t>
      </w:r>
      <w:r w:rsidRPr="00337F32">
        <w:rPr>
          <w:color w:val="000000"/>
        </w:rPr>
        <w:t xml:space="preserve"> combine different learned </w:t>
      </w:r>
      <w:r w:rsidRPr="00337F32" w:rsidR="00201D54">
        <w:rPr>
          <w:color w:val="000000"/>
        </w:rPr>
        <w:t>skills in</w:t>
      </w:r>
      <w:r w:rsidRPr="00337F32">
        <w:rPr>
          <w:color w:val="000000"/>
        </w:rPr>
        <w:t xml:space="preserve"> a new rejuvenated and well-informed way. Ultimately, this will bring better outcomes in the programs (</w:t>
      </w:r>
      <w:r w:rsidRPr="00337F32">
        <w:rPr>
          <w:color w:val="000000"/>
          <w:highlight w:val="white"/>
        </w:rPr>
        <w:t>Cropanzan et al., 2017)</w:t>
      </w:r>
      <w:r w:rsidRPr="00337F32">
        <w:rPr>
          <w:color w:val="000000"/>
        </w:rPr>
        <w:t xml:space="preserve">. The social exchange theory is important in showing the interaction </w:t>
      </w:r>
      <w:r w:rsidRPr="00337F32">
        <w:rPr>
          <w:color w:val="000000"/>
        </w:rPr>
        <w:t>between various social groups. It also details the real value that lies in support. The theory is essential in terms of the application of social work concepts.</w:t>
      </w:r>
    </w:p>
    <w:p w:rsidR="00191A8C" w:rsidRPr="00337F32" w:rsidP="00337F32" w14:paraId="39BDDE4C" w14:textId="77777777">
      <w:pPr>
        <w:pBdr>
          <w:top w:val="nil"/>
          <w:left w:val="nil"/>
          <w:bottom w:val="nil"/>
          <w:right w:val="nil"/>
          <w:between w:val="nil"/>
        </w:pBdr>
        <w:spacing w:line="480" w:lineRule="auto"/>
        <w:rPr>
          <w:b/>
          <w:color w:val="000000"/>
        </w:rPr>
      </w:pPr>
      <w:r w:rsidRPr="00337F32">
        <w:rPr>
          <w:b/>
          <w:color w:val="000000"/>
        </w:rPr>
        <w:t>Kolb’s Experiential Learning Theory</w:t>
      </w:r>
    </w:p>
    <w:p w:rsidR="00191A8C" w:rsidRPr="00337F32" w:rsidP="00337F32" w14:paraId="4405CCE5" w14:textId="7F7D09A9">
      <w:pPr>
        <w:pBdr>
          <w:top w:val="nil"/>
          <w:left w:val="nil"/>
          <w:bottom w:val="nil"/>
          <w:right w:val="nil"/>
          <w:between w:val="nil"/>
        </w:pBdr>
        <w:spacing w:line="480" w:lineRule="auto"/>
        <w:ind w:firstLine="720"/>
        <w:rPr>
          <w:b/>
          <w:color w:val="000000"/>
        </w:rPr>
      </w:pPr>
      <w:r w:rsidRPr="00337F32">
        <w:rPr>
          <w:color w:val="000000"/>
        </w:rPr>
        <w:t xml:space="preserve">Kolb's experiential learning theory introduces social work education as an applied science in society. That is, how social work is executed, analyzed, and how it is accepted by individuals within the community. Apart from employing virtual learning methods to educate social workers, this theory proposes the use of hands-on skills that are useful in the field. The employment of virtual learning, in turn, improves the sense of belonging among the MSW social students since they are assured of the high quality of the education they receive and the polished skills they possess. Thus, to acquire adequate skills and knowledge requires undergoing four </w:t>
      </w:r>
      <w:r w:rsidRPr="00337F32" w:rsidR="00E71CCC">
        <w:rPr>
          <w:color w:val="000000"/>
        </w:rPr>
        <w:t>phases, simulation</w:t>
      </w:r>
      <w:r w:rsidRPr="00337F32">
        <w:rPr>
          <w:color w:val="000000"/>
        </w:rPr>
        <w:t>, reflection, abstraction, and experimentation. To optimize the learning process these four aspects (simulation, reflection, abstraction, and experimentation) must be achieved, according to Kolb’s experiential learning theory (</w:t>
      </w:r>
      <w:r w:rsidRPr="00337F32" w:rsidR="0017673B">
        <w:rPr>
          <w:color w:val="000000"/>
        </w:rPr>
        <w:t>Wilke &amp; Vinton, 2017</w:t>
      </w:r>
      <w:r w:rsidRPr="00337F32">
        <w:rPr>
          <w:color w:val="000000"/>
        </w:rPr>
        <w:t>). Through the implementation of the theory, social workers will be able to improve and grasp more knowledge in their field constructively.</w:t>
      </w:r>
    </w:p>
    <w:p w:rsidR="00191A8C" w:rsidRPr="00337F32" w:rsidP="00337F32" w14:paraId="2D924B61" w14:textId="77777777">
      <w:pPr>
        <w:pBdr>
          <w:top w:val="nil"/>
          <w:left w:val="nil"/>
          <w:bottom w:val="nil"/>
          <w:right w:val="nil"/>
          <w:between w:val="nil"/>
        </w:pBdr>
        <w:spacing w:line="480" w:lineRule="auto"/>
        <w:rPr>
          <w:color w:val="000000"/>
        </w:rPr>
      </w:pPr>
    </w:p>
    <w:p w:rsidR="00191A8C" w:rsidRPr="00337F32" w:rsidP="00337F32" w14:paraId="60628813" w14:textId="77777777">
      <w:pPr>
        <w:pBdr>
          <w:top w:val="nil"/>
          <w:left w:val="nil"/>
          <w:bottom w:val="nil"/>
          <w:right w:val="nil"/>
          <w:between w:val="nil"/>
        </w:pBdr>
        <w:spacing w:line="480" w:lineRule="auto"/>
        <w:rPr>
          <w:color w:val="000000"/>
        </w:rPr>
      </w:pPr>
    </w:p>
    <w:p w:rsidR="00191A8C" w:rsidRPr="00337F32" w:rsidP="00337F32" w14:paraId="3F0B37D0" w14:textId="77777777">
      <w:pPr>
        <w:pBdr>
          <w:top w:val="nil"/>
          <w:left w:val="nil"/>
          <w:bottom w:val="nil"/>
          <w:right w:val="nil"/>
          <w:between w:val="nil"/>
        </w:pBdr>
        <w:spacing w:line="480" w:lineRule="auto"/>
        <w:rPr>
          <w:color w:val="000000"/>
        </w:rPr>
      </w:pPr>
    </w:p>
    <w:p w:rsidR="00191A8C" w:rsidRPr="00337F32" w:rsidP="00337F32" w14:paraId="2C690A85" w14:textId="77777777">
      <w:pPr>
        <w:pBdr>
          <w:top w:val="nil"/>
          <w:left w:val="nil"/>
          <w:bottom w:val="nil"/>
          <w:right w:val="nil"/>
          <w:between w:val="nil"/>
        </w:pBdr>
        <w:spacing w:line="480" w:lineRule="auto"/>
        <w:rPr>
          <w:color w:val="000000"/>
        </w:rPr>
      </w:pPr>
    </w:p>
    <w:p w:rsidR="00191A8C" w:rsidRPr="00337F32" w:rsidP="00337F32" w14:paraId="54C54FA1" w14:textId="77777777">
      <w:pPr>
        <w:pBdr>
          <w:top w:val="nil"/>
          <w:left w:val="nil"/>
          <w:bottom w:val="nil"/>
          <w:right w:val="nil"/>
          <w:between w:val="nil"/>
        </w:pBdr>
        <w:spacing w:line="480" w:lineRule="auto"/>
        <w:rPr>
          <w:color w:val="000000"/>
        </w:rPr>
      </w:pPr>
    </w:p>
    <w:p w:rsidR="00191A8C" w:rsidRPr="00337F32" w:rsidP="00337F32" w14:paraId="308CBFFC" w14:textId="77777777">
      <w:pPr>
        <w:pBdr>
          <w:top w:val="nil"/>
          <w:left w:val="nil"/>
          <w:bottom w:val="nil"/>
          <w:right w:val="nil"/>
          <w:between w:val="nil"/>
        </w:pBdr>
        <w:spacing w:after="160" w:line="480" w:lineRule="auto"/>
        <w:rPr>
          <w:color w:val="000000"/>
        </w:rPr>
      </w:pPr>
      <w:r w:rsidRPr="00337F32">
        <w:br w:type="page"/>
      </w:r>
    </w:p>
    <w:p w:rsidR="00191A8C" w:rsidRPr="00337F32" w:rsidP="00337F32" w14:paraId="22AE00FD" w14:textId="77777777">
      <w:pPr>
        <w:pBdr>
          <w:top w:val="nil"/>
          <w:left w:val="nil"/>
          <w:bottom w:val="nil"/>
          <w:right w:val="nil"/>
          <w:between w:val="nil"/>
        </w:pBdr>
        <w:spacing w:line="480" w:lineRule="auto"/>
        <w:rPr>
          <w:color w:val="000000"/>
        </w:rPr>
      </w:pPr>
      <w:r w:rsidRPr="00337F32">
        <w:rPr>
          <w:color w:val="000000"/>
        </w:rPr>
        <w:t>The theoretical framework is shown below</w:t>
      </w:r>
    </w:p>
    <w:p w:rsidR="00191A8C" w:rsidRPr="00337F32" w:rsidP="00337F32" w14:paraId="0868A69B" w14:textId="77777777">
      <w:pPr>
        <w:keepNext/>
        <w:keepLines/>
        <w:pBdr>
          <w:top w:val="nil"/>
          <w:left w:val="nil"/>
          <w:bottom w:val="nil"/>
          <w:right w:val="nil"/>
          <w:between w:val="nil"/>
        </w:pBdr>
        <w:spacing w:before="240" w:line="480" w:lineRule="auto"/>
        <w:jc w:val="center"/>
        <w:rPr>
          <w:b/>
          <w:color w:val="000000"/>
        </w:rPr>
      </w:pPr>
      <w:r w:rsidRPr="00337F32">
        <w:rPr>
          <w:noProof/>
        </w:rPr>
        <mc:AlternateContent>
          <mc:Choice Requires="wpg">
            <w:drawing>
              <wp:anchor distT="0" distB="0" distL="0" distR="0" simplePos="0" relativeHeight="251663360" behindDoc="0" locked="0" layoutInCell="1" allowOverlap="1">
                <wp:simplePos x="0" y="0"/>
                <wp:positionH relativeFrom="column">
                  <wp:posOffset>914400</wp:posOffset>
                </wp:positionH>
                <wp:positionV relativeFrom="paragraph">
                  <wp:posOffset>0</wp:posOffset>
                </wp:positionV>
                <wp:extent cx="3600450" cy="2076450"/>
                <wp:effectExtent l="0" t="0" r="0" b="0"/>
                <wp:wrapNone/>
                <wp:docPr id="1" name="Group 1"/>
                <wp:cNvGraphicFramePr/>
                <a:graphic xmlns:a="http://schemas.openxmlformats.org/drawingml/2006/main">
                  <a:graphicData uri="http://schemas.microsoft.com/office/word/2010/wordprocessingGroup">
                    <wpg:wgp xmlns:wpg="http://schemas.microsoft.com/office/word/2010/wordprocessingGroup">
                      <wpg:cNvGrpSpPr/>
                      <wpg:grpSpPr>
                        <a:xfrm>
                          <a:off x="0" y="0"/>
                          <a:ext cx="3600450" cy="2076450"/>
                          <a:chOff x="3545775" y="2741775"/>
                          <a:chExt cx="3600450" cy="2076450"/>
                        </a:xfrm>
                      </wpg:grpSpPr>
                      <wpg:grpSp>
                        <wpg:cNvPr id="2" name="Group 2"/>
                        <wpg:cNvGrpSpPr/>
                        <wpg:grpSpPr>
                          <a:xfrm>
                            <a:off x="3545775" y="2741775"/>
                            <a:ext cx="3600450" cy="2076450"/>
                            <a:chOff x="0" y="-1"/>
                            <a:chExt cx="3600450" cy="2076451"/>
                          </a:xfrm>
                        </wpg:grpSpPr>
                        <wps:wsp xmlns:wps="http://schemas.microsoft.com/office/word/2010/wordprocessingShape">
                          <wps:cNvPr id="3" name="Rectangle 3"/>
                          <wps:cNvSpPr/>
                          <wps:spPr>
                            <a:xfrm>
                              <a:off x="0" y="-1"/>
                              <a:ext cx="3600450" cy="2076450"/>
                            </a:xfrm>
                            <a:prstGeom prst="rect">
                              <a:avLst/>
                            </a:prstGeom>
                            <a:noFill/>
                            <a:ln>
                              <a:noFill/>
                            </a:ln>
                          </wps:spPr>
                          <wps:txbx>
                            <w:txbxContent>
                              <w:p w:rsidR="00DF2240" w14:textId="77777777"/>
                            </w:txbxContent>
                          </wps:txbx>
                          <wps:bodyPr spcFirstLastPara="1" wrap="square" lIns="91425" tIns="91425" rIns="91425" bIns="91425" anchor="ctr" anchorCtr="0"/>
                        </wps:wsp>
                        <wps:wsp xmlns:wps="http://schemas.microsoft.com/office/word/2010/wordprocessingShape">
                          <wps:cNvPr id="4" name="Oval 4"/>
                          <wps:cNvSpPr/>
                          <wps:spPr>
                            <a:xfrm>
                              <a:off x="0" y="-1"/>
                              <a:ext cx="3600450" cy="2076451"/>
                            </a:xfrm>
                            <a:prstGeom prst="ellipse">
                              <a:avLst/>
                            </a:prstGeom>
                            <a:solidFill>
                              <a:srgbClr val="FFFFFF"/>
                            </a:solidFill>
                            <a:ln w="12700">
                              <a:solidFill>
                                <a:srgbClr val="70AD47"/>
                              </a:solidFill>
                              <a:miter lim="800000"/>
                              <a:headEnd w="sm" len="sm"/>
                              <a:tailEnd w="sm" len="sm"/>
                            </a:ln>
                          </wps:spPr>
                          <wps:txbx>
                            <w:txbxContent>
                              <w:p w:rsidR="00DF2240" w14:textId="77777777"/>
                            </w:txbxContent>
                          </wps:txbx>
                          <wps:bodyPr spcFirstLastPara="1" wrap="square" lIns="91425" tIns="91425" rIns="91425" bIns="91425" anchor="ctr" anchorCtr="0"/>
                        </wps:wsp>
                        <wps:wsp xmlns:wps="http://schemas.microsoft.com/office/word/2010/wordprocessingShape">
                          <wps:cNvPr id="5" name="Rectangle 5"/>
                          <wps:cNvSpPr/>
                          <wps:spPr>
                            <a:xfrm>
                              <a:off x="527274" y="304088"/>
                              <a:ext cx="2545902" cy="1468274"/>
                            </a:xfrm>
                            <a:prstGeom prst="rect">
                              <a:avLst/>
                            </a:prstGeom>
                            <a:noFill/>
                            <a:ln>
                              <a:noFill/>
                            </a:ln>
                          </wps:spPr>
                          <wps:txbx>
                            <w:txbxContent>
                              <w:p w:rsidR="00DF2240" w14:textId="77777777">
                                <w:pPr>
                                  <w:spacing w:line="255" w:lineRule="auto"/>
                                  <w:jc w:val="center"/>
                                </w:pPr>
                                <w:r>
                                  <w:rPr>
                                    <w:rFonts w:ascii="Calibri" w:eastAsia="Calibri" w:hAnsi="Calibri" w:cs="Calibri"/>
                                    <w:color w:val="000000"/>
                                    <w:sz w:val="28"/>
                                  </w:rPr>
                                  <w:t>Relationship with the Instructors</w:t>
                                </w:r>
                              </w:p>
                              <w:p w:rsidR="00DF2240" w14:textId="77777777">
                                <w:pPr>
                                  <w:spacing w:line="255" w:lineRule="auto"/>
                                  <w:ind w:left="720" w:firstLine="360"/>
                                  <w:jc w:val="center"/>
                                </w:pPr>
                                <w:r>
                                  <w:rPr>
                                    <w:rFonts w:ascii="Calibri" w:eastAsia="Calibri" w:hAnsi="Calibri" w:cs="Calibri"/>
                                    <w:color w:val="000000"/>
                                    <w:sz w:val="28"/>
                                  </w:rPr>
                                  <w:t>What is the perceived support?</w:t>
                                </w:r>
                              </w:p>
                              <w:p w:rsidR="00DF2240" w14:textId="77777777">
                                <w:pPr>
                                  <w:spacing w:line="255" w:lineRule="auto"/>
                                  <w:ind w:left="720" w:firstLine="360"/>
                                  <w:jc w:val="center"/>
                                </w:pPr>
                                <w:r>
                                  <w:rPr>
                                    <w:rFonts w:ascii="Calibri" w:eastAsia="Calibri" w:hAnsi="Calibri" w:cs="Calibri"/>
                                    <w:color w:val="000000"/>
                                    <w:sz w:val="28"/>
                                  </w:rPr>
                                  <w:t>Does the student have conflict with instructors?</w:t>
                                </w:r>
                              </w:p>
                              <w:p w:rsidR="00DF2240" w14:textId="77777777">
                                <w:pPr>
                                  <w:spacing w:line="255" w:lineRule="auto"/>
                                  <w:ind w:left="720" w:firstLine="360"/>
                                  <w:jc w:val="center"/>
                                </w:pPr>
                                <w:r>
                                  <w:rPr>
                                    <w:rFonts w:ascii="Calibri" w:eastAsia="Calibri" w:hAnsi="Calibri" w:cs="Calibri"/>
                                    <w:color w:val="000000"/>
                                    <w:sz w:val="28"/>
                                  </w:rPr>
                                  <w:t>Is there a perception of fairness in the program?</w:t>
                                </w:r>
                              </w:p>
                            </w:txbxContent>
                          </wps:txbx>
                          <wps:bodyPr spcFirstLastPara="1" wrap="square" lIns="45700" tIns="45700" rIns="45700" bIns="45700" anchor="ctr" anchorCtr="0"/>
                        </wps:wsp>
                      </wpg:grpSp>
                    </wpg:wgp>
                  </a:graphicData>
                </a:graphic>
              </wp:anchor>
            </w:drawing>
          </mc:Choice>
          <mc:Fallback>
            <w:pict>
              <v:group id="Group 1" o:spid="_x0000_s1025" style="width:283.5pt;height:163.5pt;margin-top:0;margin-left:1in;mso-wrap-distance-left:0;mso-wrap-distance-right:0;position:absolute;z-index:251664384" coordorigin="35457,27417" coordsize="36004,20764">
                <v:group id="Group 2" o:spid="_x0000_s1026" style="width:36005;height:20765;left:35457;position:absolute;top:27417" coordsize="36004,20764">
                  <v:rect id="Rectangle 3" o:spid="_x0000_s1027" style="width:36004;height:20764;mso-wrap-style:square;position:absolute;visibility:visible;v-text-anchor:middle" filled="f" stroked="f">
                    <v:textbox inset="7.2pt,7.2pt,7.2pt,7.2pt">
                      <w:txbxContent>
                        <w:p w:rsidR="00DF2240" w14:paraId="1E64143F" w14:textId="77777777"/>
                      </w:txbxContent>
                    </v:textbox>
                  </v:rect>
                  <v:oval id="Oval 4" o:spid="_x0000_s1028" style="width:36004;height:20764;mso-wrap-style:square;position:absolute;visibility:visible;v-text-anchor:middle" strokecolor="#70ad47" strokeweight="1pt">
                    <v:stroke joinstyle="miter" startarrowwidth="narrow" startarrowlength="short" endarrowwidth="narrow" endarrowlength="short"/>
                    <v:textbox inset="7.2pt,7.2pt,7.2pt,7.2pt">
                      <w:txbxContent>
                        <w:p w:rsidR="00DF2240" w14:paraId="66514F67" w14:textId="77777777"/>
                      </w:txbxContent>
                    </v:textbox>
                  </v:oval>
                  <v:rect id="Rectangle 5" o:spid="_x0000_s1029" style="width:25459;height:14683;left:5272;mso-wrap-style:square;position:absolute;top:3040;visibility:visible;v-text-anchor:middle" filled="f" stroked="f">
                    <v:textbox inset="3.6pt,3.6pt,3.6pt,3.6pt">
                      <w:txbxContent>
                        <w:p w:rsidR="00DF2240" w14:paraId="7AB59279" w14:textId="77777777">
                          <w:pPr>
                            <w:spacing w:line="255" w:lineRule="auto"/>
                            <w:jc w:val="center"/>
                          </w:pPr>
                          <w:r>
                            <w:rPr>
                              <w:rFonts w:ascii="Calibri" w:eastAsia="Calibri" w:hAnsi="Calibri" w:cs="Calibri"/>
                              <w:color w:val="000000"/>
                              <w:sz w:val="28"/>
                            </w:rPr>
                            <w:t>Relationship with the Instructors</w:t>
                          </w:r>
                        </w:p>
                        <w:p w:rsidR="00DF2240" w14:paraId="22C121D2" w14:textId="77777777">
                          <w:pPr>
                            <w:spacing w:line="255" w:lineRule="auto"/>
                            <w:ind w:left="720" w:firstLine="360"/>
                            <w:jc w:val="center"/>
                          </w:pPr>
                          <w:r>
                            <w:rPr>
                              <w:rFonts w:ascii="Calibri" w:eastAsia="Calibri" w:hAnsi="Calibri" w:cs="Calibri"/>
                              <w:color w:val="000000"/>
                              <w:sz w:val="28"/>
                            </w:rPr>
                            <w:t>What is the perceived support?</w:t>
                          </w:r>
                        </w:p>
                        <w:p w:rsidR="00DF2240" w14:paraId="663B447C" w14:textId="77777777">
                          <w:pPr>
                            <w:spacing w:line="255" w:lineRule="auto"/>
                            <w:ind w:left="720" w:firstLine="360"/>
                            <w:jc w:val="center"/>
                          </w:pPr>
                          <w:r>
                            <w:rPr>
                              <w:rFonts w:ascii="Calibri" w:eastAsia="Calibri" w:hAnsi="Calibri" w:cs="Calibri"/>
                              <w:color w:val="000000"/>
                              <w:sz w:val="28"/>
                            </w:rPr>
                            <w:t>Does the student have conflict with instructors?</w:t>
                          </w:r>
                        </w:p>
                        <w:p w:rsidR="00DF2240" w14:paraId="0ABF4907" w14:textId="77777777">
                          <w:pPr>
                            <w:spacing w:line="255" w:lineRule="auto"/>
                            <w:ind w:left="720" w:firstLine="360"/>
                            <w:jc w:val="center"/>
                          </w:pPr>
                          <w:r>
                            <w:rPr>
                              <w:rFonts w:ascii="Calibri" w:eastAsia="Calibri" w:hAnsi="Calibri" w:cs="Calibri"/>
                              <w:color w:val="000000"/>
                              <w:sz w:val="28"/>
                            </w:rPr>
                            <w:t>Is there a perception of fairness in the program?</w:t>
                          </w:r>
                        </w:p>
                      </w:txbxContent>
                    </v:textbox>
                  </v:rect>
                </v:group>
              </v:group>
            </w:pict>
          </mc:Fallback>
        </mc:AlternateContent>
      </w:r>
    </w:p>
    <w:p w:rsidR="00191A8C" w:rsidRPr="00337F32" w:rsidP="00337F32" w14:paraId="31CC40BB" w14:textId="77777777">
      <w:pPr>
        <w:pBdr>
          <w:top w:val="nil"/>
          <w:left w:val="nil"/>
          <w:bottom w:val="nil"/>
          <w:right w:val="nil"/>
          <w:between w:val="nil"/>
        </w:pBdr>
        <w:spacing w:after="160" w:line="480" w:lineRule="auto"/>
        <w:rPr>
          <w:color w:val="000000"/>
        </w:rPr>
      </w:pPr>
    </w:p>
    <w:p w:rsidR="00191A8C" w:rsidRPr="00337F32" w:rsidP="00337F32" w14:paraId="03DC1729" w14:textId="77777777">
      <w:pPr>
        <w:pBdr>
          <w:top w:val="nil"/>
          <w:left w:val="nil"/>
          <w:bottom w:val="nil"/>
          <w:right w:val="nil"/>
          <w:between w:val="nil"/>
        </w:pBdr>
        <w:spacing w:after="160" w:line="480" w:lineRule="auto"/>
        <w:rPr>
          <w:color w:val="000000"/>
        </w:rPr>
      </w:pPr>
    </w:p>
    <w:p w:rsidR="00191A8C" w:rsidRPr="00337F32" w:rsidP="00337F32" w14:paraId="2D712F7A" w14:textId="77777777">
      <w:pPr>
        <w:pBdr>
          <w:top w:val="nil"/>
          <w:left w:val="nil"/>
          <w:bottom w:val="nil"/>
          <w:right w:val="nil"/>
          <w:between w:val="nil"/>
        </w:pBdr>
        <w:spacing w:after="160" w:line="480" w:lineRule="auto"/>
        <w:rPr>
          <w:color w:val="000000"/>
        </w:rPr>
      </w:pPr>
    </w:p>
    <w:p w:rsidR="00191A8C" w:rsidRPr="00337F32" w:rsidP="00337F32" w14:paraId="6A371BE8" w14:textId="77777777">
      <w:pPr>
        <w:pBdr>
          <w:top w:val="nil"/>
          <w:left w:val="nil"/>
          <w:bottom w:val="nil"/>
          <w:right w:val="nil"/>
          <w:between w:val="nil"/>
        </w:pBdr>
        <w:spacing w:after="160" w:line="480" w:lineRule="auto"/>
        <w:rPr>
          <w:color w:val="000000"/>
        </w:rPr>
      </w:pP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r w:rsidRPr="00337F32">
        <w:rPr>
          <w:noProof/>
        </w:rPr>
        <mc:AlternateContent>
          <mc:Choice Requires="wps">
            <w:drawing>
              <wp:anchor distT="0" distB="0" distL="0" distR="0" simplePos="0" relativeHeight="251665408" behindDoc="0" locked="0" layoutInCell="1" allowOverlap="1">
                <wp:simplePos x="0" y="0"/>
                <wp:positionH relativeFrom="column">
                  <wp:posOffset>4470400</wp:posOffset>
                </wp:positionH>
                <wp:positionV relativeFrom="paragraph">
                  <wp:posOffset>88900</wp:posOffset>
                </wp:positionV>
                <wp:extent cx="952500" cy="866775"/>
                <wp:effectExtent l="0" t="0" r="0" b="0"/>
                <wp:wrapNone/>
                <wp:docPr id="6" name="Straight Arrow Connector 6" descr="Straight Arrow Connector 8"/>
                <wp:cNvGraphicFramePr/>
                <a:graphic xmlns:a="http://schemas.openxmlformats.org/drawingml/2006/main">
                  <a:graphicData uri="http://schemas.microsoft.com/office/word/2010/wordprocessingShape">
                    <wps:wsp xmlns:wps="http://schemas.microsoft.com/office/word/2010/wordprocessingShape">
                      <wps:cNvCnPr/>
                      <wps:spPr>
                        <a:xfrm>
                          <a:off x="4874513" y="3351375"/>
                          <a:ext cx="942975" cy="857250"/>
                        </a:xfrm>
                        <a:prstGeom prst="straightConnector1">
                          <a:avLst/>
                        </a:prstGeom>
                        <a:noFill/>
                        <a:ln w="9525">
                          <a:solidFill>
                            <a:srgbClr val="5B9BD5"/>
                          </a:solidFill>
                          <a:round/>
                          <a:headEnd/>
                          <a:tailEnd type="triangle"/>
                        </a:ln>
                      </wps:spPr>
                      <wps:bodyPr/>
                    </wps:wsp>
                  </a:graphicData>
                </a:graphic>
              </wp:anchor>
            </w:drawing>
          </mc:Choice>
          <mc:Fallback>
            <w:drawing>
              <wp:anchor distT="0" distB="0" distL="0" distR="0" simplePos="0" relativeHeight="251658240" behindDoc="0" locked="0" layoutInCell="1" allowOverlap="1">
                <wp:simplePos x="0" y="0"/>
                <wp:positionH relativeFrom="column">
                  <wp:posOffset>4470400</wp:posOffset>
                </wp:positionH>
                <wp:positionV relativeFrom="paragraph">
                  <wp:posOffset>88900</wp:posOffset>
                </wp:positionV>
                <wp:extent cx="952500" cy="866775"/>
                <wp:effectExtent l="0" t="0" r="0" b="0"/>
                <wp:wrapNone/>
                <wp:docPr id="179378102" name="image6.png" descr="Straight Arrow Connector 8"/>
                <wp:cNvGraphicFramePr/>
                <a:graphic xmlns:a="http://schemas.openxmlformats.org/drawingml/2006/main">
                  <a:graphicData uri="http://schemas.openxmlformats.org/drawingml/2006/picture">
                    <pic:pic xmlns:pic="http://schemas.openxmlformats.org/drawingml/2006/picture">
                      <pic:nvPicPr>
                        <pic:cNvPr id="1188408067" name="image6.png" descr="Straight Arrow Connector 8"/>
                        <pic:cNvPicPr/>
                      </pic:nvPicPr>
                      <pic:blipFill>
                        <a:blip xmlns:r="http://schemas.openxmlformats.org/officeDocument/2006/relationships" r:embed="rId4"/>
                        <a:stretch>
                          <a:fillRect/>
                        </a:stretch>
                      </pic:blipFill>
                      <pic:spPr>
                        <a:xfrm>
                          <a:off x="0" y="0"/>
                          <a:ext cx="952500" cy="866775"/>
                        </a:xfrm>
                        <a:prstGeom prst="rect">
                          <a:avLst/>
                        </a:prstGeom>
                      </pic:spPr>
                    </pic:pic>
                  </a:graphicData>
                </a:graphic>
              </wp:anchor>
            </w:drawing>
          </mc:Fallback>
        </mc:AlternateContent>
      </w:r>
    </w:p>
    <w:p w:rsidR="00191A8C" w:rsidRPr="00337F32" w:rsidP="00337F32" w14:paraId="5F368326" w14:textId="77777777">
      <w:pPr>
        <w:keepNext/>
        <w:keepLines/>
        <w:pBdr>
          <w:top w:val="nil"/>
          <w:left w:val="nil"/>
          <w:bottom w:val="nil"/>
          <w:right w:val="nil"/>
          <w:between w:val="nil"/>
        </w:pBdr>
        <w:spacing w:before="240" w:line="480" w:lineRule="auto"/>
        <w:jc w:val="center"/>
        <w:rPr>
          <w:b/>
          <w:color w:val="000000"/>
        </w:rPr>
      </w:pPr>
      <w:r w:rsidRPr="00337F32">
        <w:rPr>
          <w:noProof/>
        </w:rPr>
        <mc:AlternateContent>
          <mc:Choice Requires="wpg">
            <w:drawing>
              <wp:anchor distT="0" distB="0" distL="0" distR="0" simplePos="0" relativeHeight="251666432" behindDoc="0" locked="0" layoutInCell="1" allowOverlap="1">
                <wp:simplePos x="0" y="0"/>
                <wp:positionH relativeFrom="column">
                  <wp:posOffset>5041900</wp:posOffset>
                </wp:positionH>
                <wp:positionV relativeFrom="paragraph">
                  <wp:posOffset>584200</wp:posOffset>
                </wp:positionV>
                <wp:extent cx="1629410" cy="1447800"/>
                <wp:effectExtent l="0" t="0" r="0" b="0"/>
                <wp:wrapNone/>
                <wp:docPr id="9" name="Group 9"/>
                <wp:cNvGraphicFramePr/>
                <a:graphic xmlns:a="http://schemas.openxmlformats.org/drawingml/2006/main">
                  <a:graphicData uri="http://schemas.microsoft.com/office/word/2010/wordprocessingGroup">
                    <wpg:wgp xmlns:wpg="http://schemas.microsoft.com/office/word/2010/wordprocessingGroup">
                      <wpg:cNvGrpSpPr/>
                      <wpg:grpSpPr>
                        <a:xfrm>
                          <a:off x="0" y="0"/>
                          <a:ext cx="1629410" cy="1447800"/>
                          <a:chOff x="4531295" y="3056100"/>
                          <a:chExt cx="1629410" cy="1447800"/>
                        </a:xfrm>
                      </wpg:grpSpPr>
                      <wpg:grpSp>
                        <wpg:cNvPr id="7" name="Group 7"/>
                        <wpg:cNvGrpSpPr/>
                        <wpg:grpSpPr>
                          <a:xfrm>
                            <a:off x="4531295" y="3056100"/>
                            <a:ext cx="1629410" cy="1447800"/>
                            <a:chOff x="0" y="-1"/>
                            <a:chExt cx="1628776" cy="1447801"/>
                          </a:xfrm>
                        </wpg:grpSpPr>
                        <wps:wsp xmlns:wps="http://schemas.microsoft.com/office/word/2010/wordprocessingShape">
                          <wps:cNvPr id="8" name="Rectangle 8"/>
                          <wps:cNvSpPr/>
                          <wps:spPr>
                            <a:xfrm>
                              <a:off x="0" y="-1"/>
                              <a:ext cx="1628775" cy="1447800"/>
                            </a:xfrm>
                            <a:prstGeom prst="rect">
                              <a:avLst/>
                            </a:prstGeom>
                            <a:noFill/>
                            <a:ln>
                              <a:noFill/>
                            </a:ln>
                          </wps:spPr>
                          <wps:txbx>
                            <w:txbxContent>
                              <w:p w:rsidR="00DF2240" w14:textId="77777777"/>
                            </w:txbxContent>
                          </wps:txbx>
                          <wps:bodyPr spcFirstLastPara="1" wrap="square" lIns="91425" tIns="91425" rIns="91425" bIns="91425" anchor="ctr" anchorCtr="0"/>
                        </wps:wsp>
                        <wps:wsp xmlns:wps="http://schemas.microsoft.com/office/word/2010/wordprocessingShape">
                          <wps:cNvPr id="10" name="Oval 10"/>
                          <wps:cNvSpPr/>
                          <wps:spPr>
                            <a:xfrm>
                              <a:off x="0" y="-1"/>
                              <a:ext cx="1628776" cy="1447801"/>
                            </a:xfrm>
                            <a:prstGeom prst="ellipse">
                              <a:avLst/>
                            </a:prstGeom>
                            <a:solidFill>
                              <a:srgbClr val="FFFFFF"/>
                            </a:solidFill>
                            <a:ln w="12700">
                              <a:solidFill>
                                <a:srgbClr val="70AD47"/>
                              </a:solidFill>
                              <a:miter lim="800000"/>
                              <a:headEnd w="sm" len="sm"/>
                              <a:tailEnd w="sm" len="sm"/>
                            </a:ln>
                          </wps:spPr>
                          <wps:txbx>
                            <w:txbxContent>
                              <w:p w:rsidR="00DF2240" w14:textId="77777777"/>
                            </w:txbxContent>
                          </wps:txbx>
                          <wps:bodyPr spcFirstLastPara="1" wrap="square" lIns="91425" tIns="91425" rIns="91425" bIns="91425" anchor="ctr" anchorCtr="0"/>
                        </wps:wsp>
                        <wps:wsp xmlns:wps="http://schemas.microsoft.com/office/word/2010/wordprocessingShape">
                          <wps:cNvPr id="11" name="Rectangle 11"/>
                          <wps:cNvSpPr/>
                          <wps:spPr>
                            <a:xfrm>
                              <a:off x="238528" y="212024"/>
                              <a:ext cx="1151719" cy="1023752"/>
                            </a:xfrm>
                            <a:prstGeom prst="rect">
                              <a:avLst/>
                            </a:prstGeom>
                            <a:noFill/>
                            <a:ln>
                              <a:noFill/>
                            </a:ln>
                          </wps:spPr>
                          <wps:txbx>
                            <w:txbxContent>
                              <w:p w:rsidR="00DF2240" w14:textId="77777777">
                                <w:pPr>
                                  <w:spacing w:line="255" w:lineRule="auto"/>
                                  <w:jc w:val="center"/>
                                </w:pPr>
                                <w:r>
                                  <w:rPr>
                                    <w:rFonts w:ascii="Calibri" w:eastAsia="Calibri" w:hAnsi="Calibri" w:cs="Calibri"/>
                                    <w:color w:val="000000"/>
                                    <w:sz w:val="28"/>
                                  </w:rPr>
                                  <w:t>Sense of belonging</w:t>
                                </w:r>
                              </w:p>
                            </w:txbxContent>
                          </wps:txbx>
                          <wps:bodyPr spcFirstLastPara="1" wrap="square" lIns="45700" tIns="45700" rIns="45700" bIns="45700" anchor="ctr" anchorCtr="0"/>
                        </wps:wsp>
                      </wpg:grpSp>
                    </wpg:wgp>
                  </a:graphicData>
                </a:graphic>
              </wp:anchor>
            </w:drawing>
          </mc:Choice>
          <mc:Fallback>
            <w:pict>
              <v:group id="Group 9" o:spid="_x0000_s1030" style="width:128.3pt;height:114pt;margin-top:46pt;margin-left:397pt;mso-wrap-distance-left:0;mso-wrap-distance-right:0;position:absolute;z-index:251667456" coordorigin="45312,30561" coordsize="16294,14478">
                <v:group id="Group 7" o:spid="_x0000_s1031" style="width:16295;height:14478;left:45312;position:absolute;top:30561" coordsize="16287,14478">
                  <v:rect id="Rectangle 8" o:spid="_x0000_s1032" style="width:16287;height:14477;mso-wrap-style:square;position:absolute;visibility:visible;v-text-anchor:middle" filled="f" stroked="f">
                    <v:textbox inset="7.2pt,7.2pt,7.2pt,7.2pt">
                      <w:txbxContent>
                        <w:p w:rsidR="00DF2240" w14:paraId="1B061274" w14:textId="77777777"/>
                      </w:txbxContent>
                    </v:textbox>
                  </v:rect>
                  <v:oval id="Oval 10" o:spid="_x0000_s1033" style="width:16287;height:14478;mso-wrap-style:square;position:absolute;visibility:visible;v-text-anchor:middle" strokecolor="#70ad47" strokeweight="1pt">
                    <v:stroke joinstyle="miter" startarrowwidth="narrow" startarrowlength="short" endarrowwidth="narrow" endarrowlength="short"/>
                    <v:textbox inset="7.2pt,7.2pt,7.2pt,7.2pt">
                      <w:txbxContent>
                        <w:p w:rsidR="00DF2240" w14:paraId="111555D8" w14:textId="77777777"/>
                      </w:txbxContent>
                    </v:textbox>
                  </v:oval>
                  <v:rect id="Rectangle 11" o:spid="_x0000_s1034" style="width:11517;height:10237;left:2385;mso-wrap-style:square;position:absolute;top:2120;visibility:visible;v-text-anchor:middle" filled="f" stroked="f">
                    <v:textbox inset="3.6pt,3.6pt,3.6pt,3.6pt">
                      <w:txbxContent>
                        <w:p w:rsidR="00DF2240" w14:paraId="4106EF08" w14:textId="77777777">
                          <w:pPr>
                            <w:spacing w:line="255" w:lineRule="auto"/>
                            <w:jc w:val="center"/>
                          </w:pPr>
                          <w:r>
                            <w:rPr>
                              <w:rFonts w:ascii="Calibri" w:eastAsia="Calibri" w:hAnsi="Calibri" w:cs="Calibri"/>
                              <w:color w:val="000000"/>
                              <w:sz w:val="28"/>
                            </w:rPr>
                            <w:t>Sense of belonging</w:t>
                          </w:r>
                        </w:p>
                      </w:txbxContent>
                    </v:textbox>
                  </v:rect>
                </v:group>
              </v:group>
            </w:pict>
          </mc:Fallback>
        </mc:AlternateContent>
      </w:r>
      <w:r w:rsidRPr="00337F32">
        <w:rPr>
          <w:noProof/>
        </w:rPr>
        <mc:AlternateContent>
          <mc:Choice Requires="wps">
            <w:drawing>
              <wp:anchor distT="0" distB="0" distL="0" distR="0" simplePos="0" relativeHeight="251668480" behindDoc="0" locked="0" layoutInCell="1" allowOverlap="1">
                <wp:simplePos x="0" y="0"/>
                <wp:positionH relativeFrom="column">
                  <wp:posOffset>1371600</wp:posOffset>
                </wp:positionH>
                <wp:positionV relativeFrom="paragraph">
                  <wp:posOffset>368300</wp:posOffset>
                </wp:positionV>
                <wp:extent cx="266700" cy="581025"/>
                <wp:effectExtent l="0" t="0" r="0" b="0"/>
                <wp:wrapNone/>
                <wp:docPr id="12" name="Straight Arrow Connector 12" descr="Straight Arrow Connector 6"/>
                <wp:cNvGraphicFramePr/>
                <a:graphic xmlns:a="http://schemas.openxmlformats.org/drawingml/2006/main">
                  <a:graphicData uri="http://schemas.microsoft.com/office/word/2010/wordprocessingShape">
                    <wps:wsp xmlns:wps="http://schemas.microsoft.com/office/word/2010/wordprocessingShape">
                      <wps:cNvCnPr/>
                      <wps:spPr>
                        <a:xfrm rot="10800000" flipH="1">
                          <a:off x="5217413" y="3494250"/>
                          <a:ext cx="257175" cy="571500"/>
                        </a:xfrm>
                        <a:prstGeom prst="straightConnector1">
                          <a:avLst/>
                        </a:prstGeom>
                        <a:noFill/>
                        <a:ln w="9525">
                          <a:solidFill>
                            <a:srgbClr val="5B9BD5"/>
                          </a:solidFill>
                          <a:round/>
                          <a:headEnd/>
                          <a:tailEnd type="triangle"/>
                        </a:ln>
                      </wps:spPr>
                      <wps:bodyPr/>
                    </wps:wsp>
                  </a:graphicData>
                </a:graphic>
              </wp:anchor>
            </w:drawing>
          </mc:Choice>
          <mc:Fallback>
            <w:drawing>
              <wp:anchor distT="0" distB="0" distL="0" distR="0" simplePos="0" relativeHeight="251659264" behindDoc="0" locked="0" layoutInCell="1" allowOverlap="1">
                <wp:simplePos x="0" y="0"/>
                <wp:positionH relativeFrom="column">
                  <wp:posOffset>1371600</wp:posOffset>
                </wp:positionH>
                <wp:positionV relativeFrom="paragraph">
                  <wp:posOffset>368300</wp:posOffset>
                </wp:positionV>
                <wp:extent cx="266700" cy="581025"/>
                <wp:effectExtent l="0" t="0" r="0" b="0"/>
                <wp:wrapNone/>
                <wp:docPr id="1299650030" name="image7.png" descr="Straight Arrow Connector 6"/>
                <wp:cNvGraphicFramePr/>
                <a:graphic xmlns:a="http://schemas.openxmlformats.org/drawingml/2006/main">
                  <a:graphicData uri="http://schemas.openxmlformats.org/drawingml/2006/picture">
                    <pic:pic xmlns:pic="http://schemas.openxmlformats.org/drawingml/2006/picture">
                      <pic:nvPicPr>
                        <pic:cNvPr id="1835908702" name="image7.png" descr="Straight Arrow Connector 6"/>
                        <pic:cNvPicPr/>
                      </pic:nvPicPr>
                      <pic:blipFill>
                        <a:blip xmlns:r="http://schemas.openxmlformats.org/officeDocument/2006/relationships" r:embed="rId5"/>
                        <a:stretch>
                          <a:fillRect/>
                        </a:stretch>
                      </pic:blipFill>
                      <pic:spPr>
                        <a:xfrm>
                          <a:off x="0" y="0"/>
                          <a:ext cx="266700" cy="581025"/>
                        </a:xfrm>
                        <a:prstGeom prst="rect">
                          <a:avLst/>
                        </a:prstGeom>
                      </pic:spPr>
                    </pic:pic>
                  </a:graphicData>
                </a:graphic>
              </wp:anchor>
            </w:drawing>
          </mc:Fallback>
        </mc:AlternateContent>
      </w:r>
    </w:p>
    <w:p w:rsidR="00191A8C" w:rsidRPr="00337F32" w:rsidP="00337F32" w14:paraId="495229E9" w14:textId="77777777">
      <w:pPr>
        <w:keepNext/>
        <w:keepLines/>
        <w:pBdr>
          <w:top w:val="nil"/>
          <w:left w:val="nil"/>
          <w:bottom w:val="nil"/>
          <w:right w:val="nil"/>
          <w:between w:val="nil"/>
        </w:pBdr>
        <w:spacing w:before="240" w:line="480" w:lineRule="auto"/>
        <w:jc w:val="center"/>
        <w:rPr>
          <w:b/>
          <w:color w:val="000000"/>
        </w:rPr>
      </w:pPr>
      <w:r w:rsidRPr="00337F32">
        <w:rPr>
          <w:noProof/>
        </w:rPr>
        <mc:AlternateContent>
          <mc:Choice Requires="wpg">
            <w:drawing>
              <wp:anchor distT="0" distB="0" distL="0" distR="0" simplePos="0" relativeHeight="251669504" behindDoc="0" locked="0" layoutInCell="1" allowOverlap="1">
                <wp:simplePos x="0" y="0"/>
                <wp:positionH relativeFrom="column">
                  <wp:posOffset>-482599</wp:posOffset>
                </wp:positionH>
                <wp:positionV relativeFrom="paragraph">
                  <wp:posOffset>355600</wp:posOffset>
                </wp:positionV>
                <wp:extent cx="2295525" cy="1800225"/>
                <wp:effectExtent l="0" t="0" r="0" b="0"/>
                <wp:wrapNone/>
                <wp:docPr id="13" name="Group 13"/>
                <wp:cNvGraphicFramePr/>
                <a:graphic xmlns:a="http://schemas.openxmlformats.org/drawingml/2006/main">
                  <a:graphicData uri="http://schemas.microsoft.com/office/word/2010/wordprocessingGroup">
                    <wpg:wgp xmlns:wpg="http://schemas.microsoft.com/office/word/2010/wordprocessingGroup">
                      <wpg:cNvGrpSpPr/>
                      <wpg:grpSpPr>
                        <a:xfrm>
                          <a:off x="0" y="0"/>
                          <a:ext cx="2295525" cy="1800225"/>
                          <a:chOff x="4198238" y="2879888"/>
                          <a:chExt cx="2295525" cy="1800225"/>
                        </a:xfrm>
                      </wpg:grpSpPr>
                      <wpg:grpSp>
                        <wpg:cNvPr id="14" name="Group 14"/>
                        <wpg:cNvGrpSpPr/>
                        <wpg:grpSpPr>
                          <a:xfrm>
                            <a:off x="4198238" y="2879888"/>
                            <a:ext cx="2295525" cy="1800225"/>
                            <a:chOff x="0" y="0"/>
                            <a:chExt cx="2295526" cy="1800226"/>
                          </a:xfrm>
                        </wpg:grpSpPr>
                        <wps:wsp xmlns:wps="http://schemas.microsoft.com/office/word/2010/wordprocessingShape">
                          <wps:cNvPr id="15" name="Rectangle 15"/>
                          <wps:cNvSpPr/>
                          <wps:spPr>
                            <a:xfrm>
                              <a:off x="0" y="0"/>
                              <a:ext cx="2295525" cy="1800225"/>
                            </a:xfrm>
                            <a:prstGeom prst="rect">
                              <a:avLst/>
                            </a:prstGeom>
                            <a:noFill/>
                            <a:ln>
                              <a:noFill/>
                            </a:ln>
                          </wps:spPr>
                          <wps:txbx>
                            <w:txbxContent>
                              <w:p w:rsidR="00DF2240" w14:textId="77777777"/>
                            </w:txbxContent>
                          </wps:txbx>
                          <wps:bodyPr spcFirstLastPara="1" wrap="square" lIns="91425" tIns="91425" rIns="91425" bIns="91425" anchor="ctr" anchorCtr="0"/>
                        </wps:wsp>
                        <wps:wsp xmlns:wps="http://schemas.microsoft.com/office/word/2010/wordprocessingShape">
                          <wps:cNvPr id="16" name="Oval 16"/>
                          <wps:cNvSpPr/>
                          <wps:spPr>
                            <a:xfrm>
                              <a:off x="0" y="0"/>
                              <a:ext cx="2295526" cy="1800226"/>
                            </a:xfrm>
                            <a:prstGeom prst="ellipse">
                              <a:avLst/>
                            </a:prstGeom>
                            <a:solidFill>
                              <a:srgbClr val="FFFFFF"/>
                            </a:solidFill>
                            <a:ln w="12700">
                              <a:solidFill>
                                <a:srgbClr val="70AD47"/>
                              </a:solidFill>
                              <a:miter lim="800000"/>
                              <a:headEnd w="sm" len="sm"/>
                              <a:tailEnd w="sm" len="sm"/>
                            </a:ln>
                          </wps:spPr>
                          <wps:txbx>
                            <w:txbxContent>
                              <w:p w:rsidR="00DF2240" w14:textId="77777777"/>
                            </w:txbxContent>
                          </wps:txbx>
                          <wps:bodyPr spcFirstLastPara="1" wrap="square" lIns="91425" tIns="91425" rIns="91425" bIns="91425" anchor="ctr" anchorCtr="0"/>
                        </wps:wsp>
                        <wps:wsp xmlns:wps="http://schemas.microsoft.com/office/word/2010/wordprocessingShape">
                          <wps:cNvPr id="17" name="Rectangle 17"/>
                          <wps:cNvSpPr/>
                          <wps:spPr>
                            <a:xfrm>
                              <a:off x="336171" y="263637"/>
                              <a:ext cx="1623183" cy="1272951"/>
                            </a:xfrm>
                            <a:prstGeom prst="rect">
                              <a:avLst/>
                            </a:prstGeom>
                            <a:noFill/>
                            <a:ln>
                              <a:noFill/>
                            </a:ln>
                          </wps:spPr>
                          <wps:txbx>
                            <w:txbxContent>
                              <w:p w:rsidR="00DF2240" w14:textId="77777777">
                                <w:pPr>
                                  <w:spacing w:line="255" w:lineRule="auto"/>
                                  <w:jc w:val="center"/>
                                </w:pPr>
                                <w:r>
                                  <w:rPr>
                                    <w:rFonts w:ascii="Calibri" w:eastAsia="Calibri" w:hAnsi="Calibri" w:cs="Calibri"/>
                                    <w:color w:val="000000"/>
                                    <w:sz w:val="28"/>
                                  </w:rPr>
                                  <w:t>Student’s behavior</w:t>
                                </w:r>
                              </w:p>
                              <w:p w:rsidR="00DF2240" w14:textId="77777777">
                                <w:pPr>
                                  <w:spacing w:line="255" w:lineRule="auto"/>
                                  <w:ind w:left="720" w:firstLine="360"/>
                                  <w:jc w:val="center"/>
                                </w:pPr>
                                <w:r>
                                  <w:rPr>
                                    <w:rFonts w:ascii="Calibri" w:eastAsia="Calibri" w:hAnsi="Calibri" w:cs="Calibri"/>
                                    <w:color w:val="000000"/>
                                    <w:sz w:val="28"/>
                                  </w:rPr>
                                  <w:t>The academic achievement</w:t>
                                </w:r>
                              </w:p>
                              <w:p w:rsidR="00DF2240" w14:textId="77777777">
                                <w:pPr>
                                  <w:spacing w:line="255" w:lineRule="auto"/>
                                  <w:ind w:left="720" w:firstLine="360"/>
                                  <w:jc w:val="center"/>
                                </w:pPr>
                                <w:r>
                                  <w:rPr>
                                    <w:rFonts w:ascii="Calibri" w:eastAsia="Calibri" w:hAnsi="Calibri" w:cs="Calibri"/>
                                    <w:color w:val="000000"/>
                                    <w:sz w:val="28"/>
                                  </w:rPr>
                                  <w:t>Aggressive behavior towards studies</w:t>
                                </w:r>
                              </w:p>
                            </w:txbxContent>
                          </wps:txbx>
                          <wps:bodyPr spcFirstLastPara="1" wrap="square" lIns="45700" tIns="45700" rIns="45700" bIns="45700" anchor="ctr" anchorCtr="0"/>
                        </wps:wsp>
                      </wpg:grpSp>
                    </wpg:wgp>
                  </a:graphicData>
                </a:graphic>
              </wp:anchor>
            </w:drawing>
          </mc:Choice>
          <mc:Fallback>
            <w:pict>
              <v:group id="Group 13" o:spid="_x0000_s1035" style="width:180.75pt;height:141.75pt;margin-top:28pt;margin-left:-38pt;mso-wrap-distance-left:0;mso-wrap-distance-right:0;position:absolute;z-index:251670528" coordorigin="41982,28798" coordsize="22955,18002">
                <v:group id="Group 14" o:spid="_x0000_s1036" style="width:22955;height:18003;left:41982;position:absolute;top:28798" coordsize="22955,18002">
                  <v:rect id="Rectangle 15" o:spid="_x0000_s1037" style="width:22955;height:18002;mso-wrap-style:square;position:absolute;visibility:visible;v-text-anchor:middle" filled="f" stroked="f">
                    <v:textbox inset="7.2pt,7.2pt,7.2pt,7.2pt">
                      <w:txbxContent>
                        <w:p w:rsidR="00DF2240" w14:paraId="0454E407" w14:textId="77777777"/>
                      </w:txbxContent>
                    </v:textbox>
                  </v:rect>
                  <v:oval id="Oval 16" o:spid="_x0000_s1038" style="width:22955;height:18002;mso-wrap-style:square;position:absolute;visibility:visible;v-text-anchor:middle" strokecolor="#70ad47" strokeweight="1pt">
                    <v:stroke joinstyle="miter" startarrowwidth="narrow" startarrowlength="short" endarrowwidth="narrow" endarrowlength="short"/>
                    <v:textbox inset="7.2pt,7.2pt,7.2pt,7.2pt">
                      <w:txbxContent>
                        <w:p w:rsidR="00DF2240" w14:paraId="269EAB7A" w14:textId="77777777"/>
                      </w:txbxContent>
                    </v:textbox>
                  </v:oval>
                  <v:rect id="Rectangle 17" o:spid="_x0000_s1039" style="width:16232;height:12729;left:3361;mso-wrap-style:square;position:absolute;top:2636;visibility:visible;v-text-anchor:middle" filled="f" stroked="f">
                    <v:textbox inset="3.6pt,3.6pt,3.6pt,3.6pt">
                      <w:txbxContent>
                        <w:p w:rsidR="00DF2240" w14:paraId="1BF1C53B" w14:textId="77777777">
                          <w:pPr>
                            <w:spacing w:line="255" w:lineRule="auto"/>
                            <w:jc w:val="center"/>
                          </w:pPr>
                          <w:r>
                            <w:rPr>
                              <w:rFonts w:ascii="Calibri" w:eastAsia="Calibri" w:hAnsi="Calibri" w:cs="Calibri"/>
                              <w:color w:val="000000"/>
                              <w:sz w:val="28"/>
                            </w:rPr>
                            <w:t>Student’s behavior</w:t>
                          </w:r>
                        </w:p>
                        <w:p w:rsidR="00DF2240" w14:paraId="2528250D" w14:textId="77777777">
                          <w:pPr>
                            <w:spacing w:line="255" w:lineRule="auto"/>
                            <w:ind w:left="720" w:firstLine="360"/>
                            <w:jc w:val="center"/>
                          </w:pPr>
                          <w:r>
                            <w:rPr>
                              <w:rFonts w:ascii="Calibri" w:eastAsia="Calibri" w:hAnsi="Calibri" w:cs="Calibri"/>
                              <w:color w:val="000000"/>
                              <w:sz w:val="28"/>
                            </w:rPr>
                            <w:t>The academic achievement</w:t>
                          </w:r>
                        </w:p>
                        <w:p w:rsidR="00DF2240" w14:paraId="10223B8B" w14:textId="77777777">
                          <w:pPr>
                            <w:spacing w:line="255" w:lineRule="auto"/>
                            <w:ind w:left="720" w:firstLine="360"/>
                            <w:jc w:val="center"/>
                          </w:pPr>
                          <w:r>
                            <w:rPr>
                              <w:rFonts w:ascii="Calibri" w:eastAsia="Calibri" w:hAnsi="Calibri" w:cs="Calibri"/>
                              <w:color w:val="000000"/>
                              <w:sz w:val="28"/>
                            </w:rPr>
                            <w:t>Aggressive behavior towards studies</w:t>
                          </w:r>
                        </w:p>
                      </w:txbxContent>
                    </v:textbox>
                  </v:rect>
                </v:group>
              </v:group>
            </w:pict>
          </mc:Fallback>
        </mc:AlternateContent>
      </w:r>
    </w:p>
    <w:p w:rsidR="00191A8C" w:rsidRPr="00337F32" w:rsidP="00337F32" w14:paraId="701EB911" w14:textId="77777777">
      <w:pPr>
        <w:pBdr>
          <w:top w:val="nil"/>
          <w:left w:val="nil"/>
          <w:bottom w:val="nil"/>
          <w:right w:val="nil"/>
          <w:between w:val="nil"/>
        </w:pBdr>
        <w:spacing w:after="160" w:line="480" w:lineRule="auto"/>
        <w:rPr>
          <w:color w:val="000000"/>
        </w:rPr>
      </w:pPr>
      <w:r w:rsidRPr="00337F32">
        <w:rPr>
          <w:color w:val="000000"/>
        </w:rPr>
        <w:tab/>
      </w:r>
      <w:r w:rsidRPr="00337F32">
        <w:rPr>
          <w:color w:val="000000"/>
        </w:rPr>
        <w:tab/>
      </w:r>
      <w:r w:rsidRPr="00337F32">
        <w:rPr>
          <w:color w:val="000000"/>
        </w:rPr>
        <w:tab/>
      </w:r>
    </w:p>
    <w:p w:rsidR="00191A8C" w:rsidRPr="00337F32" w:rsidP="00337F32" w14:paraId="65AEB0D1" w14:textId="77777777">
      <w:pPr>
        <w:pBdr>
          <w:top w:val="nil"/>
          <w:left w:val="nil"/>
          <w:bottom w:val="nil"/>
          <w:right w:val="nil"/>
          <w:between w:val="nil"/>
        </w:pBdr>
        <w:spacing w:after="160" w:line="480" w:lineRule="auto"/>
        <w:rPr>
          <w:color w:val="000000"/>
        </w:rPr>
      </w:pPr>
      <w:r w:rsidRPr="00337F32">
        <w:rPr>
          <w:color w:val="000000"/>
        </w:rPr>
        <w:t>adaaaaaaaaaa</w:t>
      </w:r>
      <w:r w:rsidRPr="00337F32">
        <w:rPr>
          <w:noProof/>
        </w:rPr>
        <mc:AlternateContent>
          <mc:Choice Requires="wps">
            <w:drawing>
              <wp:anchor distT="0" distB="0" distL="0" distR="0" simplePos="0" relativeHeight="251671552" behindDoc="0" locked="0" layoutInCell="1" allowOverlap="1">
                <wp:simplePos x="0" y="0"/>
                <wp:positionH relativeFrom="column">
                  <wp:posOffset>1816100</wp:posOffset>
                </wp:positionH>
                <wp:positionV relativeFrom="paragraph">
                  <wp:posOffset>203200</wp:posOffset>
                </wp:positionV>
                <wp:extent cx="3257550" cy="161925"/>
                <wp:effectExtent l="0" t="0" r="0" b="0"/>
                <wp:wrapNone/>
                <wp:docPr id="18" name="Straight Arrow Connector 18" descr="Straight Arrow Connector 11"/>
                <wp:cNvGraphicFramePr/>
                <a:graphic xmlns:a="http://schemas.openxmlformats.org/drawingml/2006/main">
                  <a:graphicData uri="http://schemas.microsoft.com/office/word/2010/wordprocessingShape">
                    <wps:wsp xmlns:wps="http://schemas.microsoft.com/office/word/2010/wordprocessingShape">
                      <wps:cNvCnPr/>
                      <wps:spPr>
                        <a:xfrm rot="10800000" flipH="1">
                          <a:off x="3721988" y="3703800"/>
                          <a:ext cx="3248025" cy="152400"/>
                        </a:xfrm>
                        <a:prstGeom prst="straightConnector1">
                          <a:avLst/>
                        </a:prstGeom>
                        <a:noFill/>
                        <a:ln w="9525">
                          <a:solidFill>
                            <a:srgbClr val="5B9BD5"/>
                          </a:solidFill>
                          <a:round/>
                          <a:headEnd/>
                          <a:tailEnd type="triangle"/>
                        </a:ln>
                      </wps:spPr>
                      <wps:bodyPr/>
                    </wps:wsp>
                  </a:graphicData>
                </a:graphic>
              </wp:anchor>
            </w:drawing>
          </mc:Choice>
          <mc:Fallback>
            <w:drawing>
              <wp:anchor distT="0" distB="0" distL="0" distR="0" simplePos="0" relativeHeight="251660288" behindDoc="0" locked="0" layoutInCell="1" allowOverlap="1">
                <wp:simplePos x="0" y="0"/>
                <wp:positionH relativeFrom="column">
                  <wp:posOffset>1816100</wp:posOffset>
                </wp:positionH>
                <wp:positionV relativeFrom="paragraph">
                  <wp:posOffset>203200</wp:posOffset>
                </wp:positionV>
                <wp:extent cx="3257550" cy="161925"/>
                <wp:effectExtent l="0" t="0" r="0" b="0"/>
                <wp:wrapNone/>
                <wp:docPr id="703948906" name="image2.png" descr="Straight Arrow Connector 11"/>
                <wp:cNvGraphicFramePr/>
                <a:graphic xmlns:a="http://schemas.openxmlformats.org/drawingml/2006/main">
                  <a:graphicData uri="http://schemas.openxmlformats.org/drawingml/2006/picture">
                    <pic:pic xmlns:pic="http://schemas.openxmlformats.org/drawingml/2006/picture">
                      <pic:nvPicPr>
                        <pic:cNvPr id="1652366972" name="image2.png" descr="Straight Arrow Connector 11"/>
                        <pic:cNvPicPr/>
                      </pic:nvPicPr>
                      <pic:blipFill>
                        <a:blip xmlns:r="http://schemas.openxmlformats.org/officeDocument/2006/relationships" r:embed="rId6"/>
                        <a:stretch>
                          <a:fillRect/>
                        </a:stretch>
                      </pic:blipFill>
                      <pic:spPr>
                        <a:xfrm>
                          <a:off x="0" y="0"/>
                          <a:ext cx="3257550" cy="161925"/>
                        </a:xfrm>
                        <a:prstGeom prst="rect">
                          <a:avLst/>
                        </a:prstGeom>
                      </pic:spPr>
                    </pic:pic>
                  </a:graphicData>
                </a:graphic>
              </wp:anchor>
            </w:drawing>
          </mc:Fallback>
        </mc:AlternateContent>
      </w:r>
    </w:p>
    <w:p w:rsidR="00191A8C" w:rsidRPr="00337F32" w:rsidP="00337F32" w14:paraId="79C234A3" w14:textId="77777777">
      <w:pPr>
        <w:pBdr>
          <w:top w:val="nil"/>
          <w:left w:val="nil"/>
          <w:bottom w:val="nil"/>
          <w:right w:val="nil"/>
          <w:between w:val="nil"/>
        </w:pBdr>
        <w:spacing w:after="160" w:line="480" w:lineRule="auto"/>
        <w:rPr>
          <w:color w:val="000000"/>
        </w:rPr>
      </w:pP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t xml:space="preserve">            Adaptation to the behavior</w:t>
      </w: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p>
    <w:p w:rsidR="00191A8C" w:rsidRPr="00337F32" w:rsidP="00337F32" w14:paraId="2A6A54F1" w14:textId="77777777">
      <w:pPr>
        <w:pBdr>
          <w:top w:val="nil"/>
          <w:left w:val="nil"/>
          <w:bottom w:val="nil"/>
          <w:right w:val="nil"/>
          <w:between w:val="nil"/>
        </w:pBdr>
        <w:spacing w:after="160" w:line="480" w:lineRule="auto"/>
        <w:rPr>
          <w:color w:val="000000"/>
        </w:rPr>
      </w:pPr>
      <w:r w:rsidRPr="00337F32">
        <w:rPr>
          <w:noProof/>
        </w:rPr>
        <mc:AlternateContent>
          <mc:Choice Requires="wps">
            <w:drawing>
              <wp:anchor distT="0" distB="0" distL="0" distR="0" simplePos="0" relativeHeight="251672576" behindDoc="0" locked="0" layoutInCell="1" allowOverlap="1">
                <wp:simplePos x="0" y="0"/>
                <wp:positionH relativeFrom="column">
                  <wp:posOffset>5372100</wp:posOffset>
                </wp:positionH>
                <wp:positionV relativeFrom="paragraph">
                  <wp:posOffset>76200</wp:posOffset>
                </wp:positionV>
                <wp:extent cx="371475" cy="1209675"/>
                <wp:effectExtent l="0" t="0" r="0" b="0"/>
                <wp:wrapNone/>
                <wp:docPr id="19" name="Straight Arrow Connector 19" descr="Straight Arrow Connector 9"/>
                <wp:cNvGraphicFramePr/>
                <a:graphic xmlns:a="http://schemas.openxmlformats.org/drawingml/2006/main">
                  <a:graphicData uri="http://schemas.microsoft.com/office/word/2010/wordprocessingShape">
                    <wps:wsp xmlns:wps="http://schemas.microsoft.com/office/word/2010/wordprocessingShape">
                      <wps:cNvCnPr/>
                      <wps:spPr>
                        <a:xfrm rot="10800000" flipH="1">
                          <a:off x="5165025" y="3179925"/>
                          <a:ext cx="361950" cy="1200150"/>
                        </a:xfrm>
                        <a:prstGeom prst="straightConnector1">
                          <a:avLst/>
                        </a:prstGeom>
                        <a:noFill/>
                        <a:ln w="9525">
                          <a:solidFill>
                            <a:srgbClr val="5B9BD5"/>
                          </a:solidFill>
                          <a:round/>
                          <a:headEnd/>
                          <a:tailEnd type="triangle"/>
                        </a:ln>
                      </wps:spPr>
                      <wps:bodyPr/>
                    </wps:wsp>
                  </a:graphicData>
                </a:graphic>
              </wp:anchor>
            </w:drawing>
          </mc:Choice>
          <mc:Fallback>
            <w:drawing>
              <wp:anchor distT="0" distB="0" distL="0" distR="0" simplePos="0" relativeHeight="251661312" behindDoc="0" locked="0" layoutInCell="1" allowOverlap="1">
                <wp:simplePos x="0" y="0"/>
                <wp:positionH relativeFrom="column">
                  <wp:posOffset>5372100</wp:posOffset>
                </wp:positionH>
                <wp:positionV relativeFrom="paragraph">
                  <wp:posOffset>76200</wp:posOffset>
                </wp:positionV>
                <wp:extent cx="371475" cy="1209675"/>
                <wp:effectExtent l="0" t="0" r="0" b="0"/>
                <wp:wrapNone/>
                <wp:docPr id="1427117717" name="image4.png" descr="Straight Arrow Connector 9"/>
                <wp:cNvGraphicFramePr/>
                <a:graphic xmlns:a="http://schemas.openxmlformats.org/drawingml/2006/main">
                  <a:graphicData uri="http://schemas.openxmlformats.org/drawingml/2006/picture">
                    <pic:pic xmlns:pic="http://schemas.openxmlformats.org/drawingml/2006/picture">
                      <pic:nvPicPr>
                        <pic:cNvPr id="693038293" name="image4.png" descr="Straight Arrow Connector 9"/>
                        <pic:cNvPicPr/>
                      </pic:nvPicPr>
                      <pic:blipFill>
                        <a:blip xmlns:r="http://schemas.openxmlformats.org/officeDocument/2006/relationships" r:embed="rId7"/>
                        <a:stretch>
                          <a:fillRect/>
                        </a:stretch>
                      </pic:blipFill>
                      <pic:spPr>
                        <a:xfrm>
                          <a:off x="0" y="0"/>
                          <a:ext cx="371475" cy="1209675"/>
                        </a:xfrm>
                        <a:prstGeom prst="rect">
                          <a:avLst/>
                        </a:prstGeom>
                      </pic:spPr>
                    </pic:pic>
                  </a:graphicData>
                </a:graphic>
              </wp:anchor>
            </w:drawing>
          </mc:Fallback>
        </mc:AlternateContent>
      </w:r>
    </w:p>
    <w:p w:rsidR="00191A8C" w:rsidRPr="00337F32" w:rsidP="00337F32" w14:paraId="4C49619D" w14:textId="77777777">
      <w:pPr>
        <w:pBdr>
          <w:top w:val="nil"/>
          <w:left w:val="nil"/>
          <w:bottom w:val="nil"/>
          <w:right w:val="nil"/>
          <w:between w:val="nil"/>
        </w:pBdr>
        <w:spacing w:after="160" w:line="480" w:lineRule="auto"/>
        <w:rPr>
          <w:color w:val="000000"/>
        </w:rPr>
      </w:pPr>
    </w:p>
    <w:p w:rsidR="00191A8C" w:rsidRPr="00337F32" w:rsidP="00337F32" w14:paraId="3632A97D" w14:textId="77777777">
      <w:pPr>
        <w:pBdr>
          <w:top w:val="nil"/>
          <w:left w:val="nil"/>
          <w:bottom w:val="nil"/>
          <w:right w:val="nil"/>
          <w:between w:val="nil"/>
        </w:pBdr>
        <w:spacing w:after="160" w:line="480" w:lineRule="auto"/>
        <w:rPr>
          <w:color w:val="000000"/>
        </w:rPr>
      </w:pPr>
      <w:r w:rsidRPr="00337F32">
        <w:rPr>
          <w:color w:val="000000"/>
        </w:rPr>
        <w:tab/>
      </w:r>
      <w:r w:rsidRPr="00337F32">
        <w:rPr>
          <w:color w:val="000000"/>
        </w:rPr>
        <w:tab/>
      </w:r>
      <w:r w:rsidRPr="00337F32">
        <w:rPr>
          <w:color w:val="000000"/>
        </w:rPr>
        <w:tab/>
      </w:r>
      <w:r w:rsidRPr="00337F32">
        <w:rPr>
          <w:noProof/>
        </w:rPr>
        <mc:AlternateContent>
          <mc:Choice Requires="wps">
            <w:drawing>
              <wp:anchor distT="0" distB="0" distL="0" distR="0" simplePos="0" relativeHeight="251673600" behindDoc="0" locked="0" layoutInCell="1" allowOverlap="1">
                <wp:simplePos x="0" y="0"/>
                <wp:positionH relativeFrom="column">
                  <wp:posOffset>1333500</wp:posOffset>
                </wp:positionH>
                <wp:positionV relativeFrom="paragraph">
                  <wp:posOffset>63500</wp:posOffset>
                </wp:positionV>
                <wp:extent cx="1619250" cy="838200"/>
                <wp:effectExtent l="0" t="0" r="0" b="0"/>
                <wp:wrapNone/>
                <wp:docPr id="20" name="Straight Arrow Connector 20" descr="Straight Arrow Connector 10"/>
                <wp:cNvGraphicFramePr/>
                <a:graphic xmlns:a="http://schemas.openxmlformats.org/drawingml/2006/main">
                  <a:graphicData uri="http://schemas.microsoft.com/office/word/2010/wordprocessingShape">
                    <wps:wsp xmlns:wps="http://schemas.microsoft.com/office/word/2010/wordprocessingShape">
                      <wps:cNvCnPr/>
                      <wps:spPr>
                        <a:xfrm>
                          <a:off x="4541138" y="3365663"/>
                          <a:ext cx="1609725" cy="828675"/>
                        </a:xfrm>
                        <a:prstGeom prst="straightConnector1">
                          <a:avLst/>
                        </a:prstGeom>
                        <a:noFill/>
                        <a:ln w="9525">
                          <a:solidFill>
                            <a:srgbClr val="5B9BD5"/>
                          </a:solidFill>
                          <a:round/>
                          <a:headEnd/>
                          <a:tailEnd type="triangle"/>
                        </a:ln>
                      </wps:spPr>
                      <wps:bodyPr/>
                    </wps:wsp>
                  </a:graphicData>
                </a:graphic>
              </wp:anchor>
            </w:drawing>
          </mc:Choice>
          <mc:Fallback>
            <w:drawing>
              <wp:anchor distT="0" distB="0" distL="0" distR="0" simplePos="0" relativeHeight="251662336" behindDoc="0" locked="0" layoutInCell="1" allowOverlap="1">
                <wp:simplePos x="0" y="0"/>
                <wp:positionH relativeFrom="column">
                  <wp:posOffset>1333500</wp:posOffset>
                </wp:positionH>
                <wp:positionV relativeFrom="paragraph">
                  <wp:posOffset>63500</wp:posOffset>
                </wp:positionV>
                <wp:extent cx="1619250" cy="838200"/>
                <wp:effectExtent l="0" t="0" r="0" b="0"/>
                <wp:wrapNone/>
                <wp:docPr id="310186477" name="image3.png" descr="Straight Arrow Connector 10"/>
                <wp:cNvGraphicFramePr/>
                <a:graphic xmlns:a="http://schemas.openxmlformats.org/drawingml/2006/main">
                  <a:graphicData uri="http://schemas.openxmlformats.org/drawingml/2006/picture">
                    <pic:pic xmlns:pic="http://schemas.openxmlformats.org/drawingml/2006/picture">
                      <pic:nvPicPr>
                        <pic:cNvPr id="759117727" name="image3.png" descr="Straight Arrow Connector 10"/>
                        <pic:cNvPicPr/>
                      </pic:nvPicPr>
                      <pic:blipFill>
                        <a:blip xmlns:r="http://schemas.openxmlformats.org/officeDocument/2006/relationships" r:embed="rId8"/>
                        <a:stretch>
                          <a:fillRect/>
                        </a:stretch>
                      </pic:blipFill>
                      <pic:spPr>
                        <a:xfrm>
                          <a:off x="0" y="0"/>
                          <a:ext cx="1619250" cy="838200"/>
                        </a:xfrm>
                        <a:prstGeom prst="rect">
                          <a:avLst/>
                        </a:prstGeom>
                      </pic:spPr>
                    </pic:pic>
                  </a:graphicData>
                </a:graphic>
              </wp:anchor>
            </w:drawing>
          </mc:Fallback>
        </mc:AlternateContent>
      </w:r>
    </w:p>
    <w:p w:rsidR="00191A8C" w:rsidRPr="00337F32" w:rsidP="00337F32" w14:paraId="509CF800" w14:textId="77777777">
      <w:pPr>
        <w:pBdr>
          <w:top w:val="nil"/>
          <w:left w:val="nil"/>
          <w:bottom w:val="nil"/>
          <w:right w:val="nil"/>
          <w:between w:val="nil"/>
        </w:pBdr>
        <w:spacing w:after="160" w:line="480" w:lineRule="auto"/>
        <w:rPr>
          <w:color w:val="000000"/>
        </w:rPr>
      </w:pP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r w:rsidRPr="00337F32">
        <w:rPr>
          <w:noProof/>
        </w:rPr>
        <mc:AlternateContent>
          <mc:Choice Requires="wpg">
            <w:drawing>
              <wp:anchor distT="0" distB="0" distL="0" distR="0" simplePos="0" relativeHeight="251675648" behindDoc="0" locked="0" layoutInCell="1" allowOverlap="1">
                <wp:simplePos x="0" y="0"/>
                <wp:positionH relativeFrom="column">
                  <wp:posOffset>2641600</wp:posOffset>
                </wp:positionH>
                <wp:positionV relativeFrom="paragraph">
                  <wp:posOffset>38100</wp:posOffset>
                </wp:positionV>
                <wp:extent cx="3200400" cy="2667000"/>
                <wp:effectExtent l="0" t="0" r="0" b="0"/>
                <wp:wrapNone/>
                <wp:docPr id="21" name="Group 21"/>
                <wp:cNvGraphicFramePr/>
                <a:graphic xmlns:a="http://schemas.openxmlformats.org/drawingml/2006/main">
                  <a:graphicData uri="http://schemas.microsoft.com/office/word/2010/wordprocessingGroup">
                    <wpg:wgp xmlns:wpg="http://schemas.microsoft.com/office/word/2010/wordprocessingGroup">
                      <wpg:cNvGrpSpPr/>
                      <wpg:grpSpPr>
                        <a:xfrm>
                          <a:off x="0" y="0"/>
                          <a:ext cx="3200400" cy="2667000"/>
                          <a:chOff x="3745800" y="2446500"/>
                          <a:chExt cx="3200400" cy="2667000"/>
                        </a:xfrm>
                      </wpg:grpSpPr>
                      <wpg:grpSp>
                        <wpg:cNvPr id="22" name="Group 22"/>
                        <wpg:cNvGrpSpPr/>
                        <wpg:grpSpPr>
                          <a:xfrm>
                            <a:off x="3745800" y="2446500"/>
                            <a:ext cx="3200400" cy="2667000"/>
                            <a:chOff x="0" y="-1"/>
                            <a:chExt cx="3200400" cy="2667001"/>
                          </a:xfrm>
                        </wpg:grpSpPr>
                        <wps:wsp xmlns:wps="http://schemas.microsoft.com/office/word/2010/wordprocessingShape">
                          <wps:cNvPr id="23" name="Rectangle 23"/>
                          <wps:cNvSpPr/>
                          <wps:spPr>
                            <a:xfrm>
                              <a:off x="0" y="-1"/>
                              <a:ext cx="3200400" cy="2667000"/>
                            </a:xfrm>
                            <a:prstGeom prst="rect">
                              <a:avLst/>
                            </a:prstGeom>
                            <a:noFill/>
                            <a:ln>
                              <a:noFill/>
                            </a:ln>
                          </wps:spPr>
                          <wps:txbx>
                            <w:txbxContent>
                              <w:p w:rsidR="00DF2240" w14:textId="77777777"/>
                            </w:txbxContent>
                          </wps:txbx>
                          <wps:bodyPr spcFirstLastPara="1" wrap="square" lIns="91425" tIns="91425" rIns="91425" bIns="91425" anchor="ctr" anchorCtr="0"/>
                        </wps:wsp>
                        <wps:wsp xmlns:wps="http://schemas.microsoft.com/office/word/2010/wordprocessingShape">
                          <wps:cNvPr id="24" name="Oval 24"/>
                          <wps:cNvSpPr/>
                          <wps:spPr>
                            <a:xfrm>
                              <a:off x="0" y="-1"/>
                              <a:ext cx="3200400" cy="2667001"/>
                            </a:xfrm>
                            <a:prstGeom prst="ellipse">
                              <a:avLst/>
                            </a:prstGeom>
                            <a:solidFill>
                              <a:srgbClr val="FFFFFF"/>
                            </a:solidFill>
                            <a:ln w="12700">
                              <a:solidFill>
                                <a:srgbClr val="70AD47"/>
                              </a:solidFill>
                              <a:miter lim="800000"/>
                              <a:headEnd w="sm" len="sm"/>
                              <a:tailEnd w="sm" len="sm"/>
                            </a:ln>
                          </wps:spPr>
                          <wps:txbx>
                            <w:txbxContent>
                              <w:p w:rsidR="00DF2240" w14:textId="77777777"/>
                            </w:txbxContent>
                          </wps:txbx>
                          <wps:bodyPr spcFirstLastPara="1" wrap="square" lIns="91425" tIns="91425" rIns="91425" bIns="91425" anchor="ctr" anchorCtr="0"/>
                        </wps:wsp>
                        <wps:wsp xmlns:wps="http://schemas.microsoft.com/office/word/2010/wordprocessingShape">
                          <wps:cNvPr id="25" name="Rectangle 25"/>
                          <wps:cNvSpPr/>
                          <wps:spPr>
                            <a:xfrm>
                              <a:off x="468687" y="390572"/>
                              <a:ext cx="2263026" cy="1885856"/>
                            </a:xfrm>
                            <a:prstGeom prst="rect">
                              <a:avLst/>
                            </a:prstGeom>
                            <a:noFill/>
                            <a:ln>
                              <a:noFill/>
                            </a:ln>
                          </wps:spPr>
                          <wps:txbx>
                            <w:txbxContent>
                              <w:p w:rsidR="00DF2240" w14:textId="77777777">
                                <w:pPr>
                                  <w:spacing w:line="255" w:lineRule="auto"/>
                                  <w:jc w:val="center"/>
                                </w:pPr>
                                <w:r>
                                  <w:rPr>
                                    <w:rFonts w:ascii="Calibri" w:eastAsia="Calibri" w:hAnsi="Calibri" w:cs="Calibri"/>
                                    <w:color w:val="000000"/>
                                    <w:sz w:val="28"/>
                                  </w:rPr>
                                  <w:t>The relationship with classmates online</w:t>
                                </w:r>
                              </w:p>
                              <w:p w:rsidR="00DF2240" w14:textId="77777777">
                                <w:pPr>
                                  <w:spacing w:line="255" w:lineRule="auto"/>
                                  <w:ind w:left="720" w:firstLine="360"/>
                                  <w:jc w:val="center"/>
                                </w:pPr>
                                <w:r>
                                  <w:rPr>
                                    <w:rFonts w:ascii="Calibri" w:eastAsia="Calibri" w:hAnsi="Calibri" w:cs="Calibri"/>
                                    <w:color w:val="000000"/>
                                    <w:sz w:val="28"/>
                                  </w:rPr>
                                  <w:t>Is there support and do the students have online groups for discussion?</w:t>
                                </w:r>
                              </w:p>
                              <w:p w:rsidR="00DF2240" w14:textId="77777777">
                                <w:pPr>
                                  <w:spacing w:line="255" w:lineRule="auto"/>
                                  <w:ind w:left="720" w:firstLine="360"/>
                                  <w:jc w:val="center"/>
                                </w:pPr>
                                <w:r>
                                  <w:rPr>
                                    <w:rFonts w:ascii="Calibri" w:eastAsia="Calibri" w:hAnsi="Calibri" w:cs="Calibri"/>
                                    <w:color w:val="000000"/>
                                    <w:sz w:val="28"/>
                                  </w:rPr>
                                  <w:t>Rejection and victimization from others</w:t>
                                </w:r>
                              </w:p>
                              <w:p w:rsidR="00DF2240" w14:textId="77777777">
                                <w:pPr>
                                  <w:spacing w:line="255" w:lineRule="auto"/>
                                  <w:ind w:left="720" w:firstLine="360"/>
                                  <w:jc w:val="center"/>
                                </w:pPr>
                                <w:r>
                                  <w:rPr>
                                    <w:rFonts w:ascii="Calibri" w:eastAsia="Calibri" w:hAnsi="Calibri" w:cs="Calibri"/>
                                    <w:color w:val="000000"/>
                                    <w:sz w:val="28"/>
                                  </w:rPr>
                                  <w:t>Are students popular among peers?
</w:t>
                                </w:r>
                              </w:p>
                            </w:txbxContent>
                          </wps:txbx>
                          <wps:bodyPr spcFirstLastPara="1" wrap="square" lIns="45700" tIns="45700" rIns="45700" bIns="45700" anchor="ctr" anchorCtr="0"/>
                        </wps:wsp>
                      </wpg:grpSp>
                    </wpg:wgp>
                  </a:graphicData>
                </a:graphic>
              </wp:anchor>
            </w:drawing>
          </mc:Choice>
          <mc:Fallback>
            <w:pict>
              <v:group id="Group 21" o:spid="_x0000_s1040" style="width:252pt;height:210pt;margin-top:3pt;margin-left:208pt;mso-wrap-distance-bottom:0;mso-wrap-distance-left:0;mso-wrap-distance-right:0;mso-wrap-distance-top:0;position:absolute;visibility:visible;z-index:251674624" coordorigin="25280,19814" coordsize="21600,21600">
                <v:group id="_x0000_s1041" style="width:21600;height:21600;left:25281;position:absolute;top:19814" coordorigin="0,0" coordsize="21600,21600">
                  <v:shapetype id="_x0000_t202" coordsize="21600,21600" o:spt="202" path="m,l,21600r21600,l21600,xe">
                    <v:stroke joinstyle="miter"/>
                    <v:path gradientshapeok="t" o:connecttype="rect"/>
                  </v:shapetype>
                  <v:shape id="_x0000_s1042" type="#_x0000_t202" style="width:21600;height:21600;position:absolute;top:0;v-text-anchor:middle" filled="f" fillcolor="this" stroked="f">
                    <v:textbox inset="7.2pt,7.2pt,7.2pt,7.2pt">
                      <w:txbxContent>
                        <w:p w:rsidR="00DF2240" w14:paraId="652D07E3" w14:textId="77777777"/>
                      </w:txbxContent>
                    </v:textbox>
                  </v:shape>
                  <v:oval id="_x0000_s1043" style="width:21600;height:21600;position:absolute;top:0;v-text-anchor:middle" fillcolor="white" stroked="t" strokecolor="#70ad47" strokeweight="1pt">
                    <v:stroke startarrowwidth="narrow" startarrowlength="short" endarrowwidth="narrow" endarrowlength="short"/>
                    <v:textbox inset="7.2pt,7.2pt,7.2pt,7.2pt">
                      <w:txbxContent>
                        <w:p w:rsidR="00DF2240" w14:paraId="5A16CA4C" w14:textId="77777777"/>
                      </w:txbxContent>
                    </v:textbox>
                  </v:oval>
                  <v:shape id="_x0000_s1044" type="#_x0000_t202" style="width:15274;height:15274;left:3163;position:absolute;top:3163;v-text-anchor:middle" filled="f" fillcolor="this" stroked="f">
                    <v:textbox inset="3.6pt,3.6pt,3.6pt,3.6pt">
                      <w:txbxContent>
                        <w:p w:rsidR="00DF2240" w14:paraId="51CFC723" w14:textId="77777777">
                          <w:pPr>
                            <w:spacing w:line="255" w:lineRule="auto"/>
                            <w:jc w:val="center"/>
                          </w:pPr>
                          <w:r>
                            <w:rPr>
                              <w:rFonts w:ascii="Calibri" w:eastAsia="Calibri" w:hAnsi="Calibri" w:cs="Calibri"/>
                              <w:color w:val="000000"/>
                              <w:sz w:val="28"/>
                            </w:rPr>
                            <w:t>The relationship with classmates online</w:t>
                          </w:r>
                        </w:p>
                        <w:p w:rsidR="00DF2240" w14:paraId="2B176D4C" w14:textId="77777777">
                          <w:pPr>
                            <w:spacing w:line="255" w:lineRule="auto"/>
                            <w:ind w:left="720" w:firstLine="360"/>
                            <w:jc w:val="center"/>
                          </w:pPr>
                          <w:r>
                            <w:rPr>
                              <w:rFonts w:ascii="Calibri" w:eastAsia="Calibri" w:hAnsi="Calibri" w:cs="Calibri"/>
                              <w:color w:val="000000"/>
                              <w:sz w:val="28"/>
                            </w:rPr>
                            <w:t>Is there support and do the students have online groups for discussion?</w:t>
                          </w:r>
                        </w:p>
                        <w:p w:rsidR="00DF2240" w14:paraId="3CC8BF72" w14:textId="77777777">
                          <w:pPr>
                            <w:spacing w:line="255" w:lineRule="auto"/>
                            <w:ind w:left="720" w:firstLine="360"/>
                            <w:jc w:val="center"/>
                          </w:pPr>
                          <w:r>
                            <w:rPr>
                              <w:rFonts w:ascii="Calibri" w:eastAsia="Calibri" w:hAnsi="Calibri" w:cs="Calibri"/>
                              <w:color w:val="000000"/>
                              <w:sz w:val="28"/>
                            </w:rPr>
                            <w:t>Rejection and victimization from others</w:t>
                          </w:r>
                        </w:p>
                        <w:p w:rsidR="00DF2240" w14:paraId="7C655326" w14:textId="77777777">
                          <w:pPr>
                            <w:spacing w:line="255" w:lineRule="auto"/>
                            <w:ind w:left="720" w:firstLine="360"/>
                            <w:jc w:val="center"/>
                          </w:pPr>
                          <w:r>
                            <w:rPr>
                              <w:rFonts w:ascii="Calibri" w:eastAsia="Calibri" w:hAnsi="Calibri" w:cs="Calibri"/>
                              <w:color w:val="000000"/>
                              <w:sz w:val="28"/>
                            </w:rPr>
                            <w:t>Are students popular among peers?
</w:t>
                          </w:r>
                        </w:p>
                      </w:txbxContent>
                    </v:textbox>
                  </v:shape>
                </v:group>
              </v:group>
            </w:pict>
          </mc:Fallback>
        </mc:AlternateContent>
      </w:r>
    </w:p>
    <w:p w:rsidR="00191A8C" w:rsidRPr="00337F32" w:rsidP="00337F32" w14:paraId="30E2FECE" w14:textId="77777777">
      <w:pPr>
        <w:keepNext/>
        <w:keepLines/>
        <w:pBdr>
          <w:top w:val="nil"/>
          <w:left w:val="nil"/>
          <w:bottom w:val="nil"/>
          <w:right w:val="nil"/>
          <w:between w:val="nil"/>
        </w:pBdr>
        <w:spacing w:before="240" w:line="480" w:lineRule="auto"/>
        <w:jc w:val="center"/>
        <w:rPr>
          <w:b/>
          <w:color w:val="000000"/>
        </w:rPr>
      </w:pPr>
      <w:r w:rsidRPr="00337F32">
        <w:rPr>
          <w:b/>
          <w:color w:val="000000"/>
        </w:rPr>
        <w:tab/>
      </w:r>
      <w:r w:rsidRPr="00337F32">
        <w:rPr>
          <w:b/>
          <w:color w:val="000000"/>
        </w:rPr>
        <w:tab/>
      </w:r>
      <w:r w:rsidRPr="00337F32">
        <w:rPr>
          <w:b/>
          <w:color w:val="000000"/>
        </w:rPr>
        <w:tab/>
      </w:r>
      <w:r w:rsidRPr="00337F32">
        <w:rPr>
          <w:b/>
          <w:color w:val="000000"/>
        </w:rPr>
        <w:tab/>
      </w:r>
      <w:r w:rsidRPr="00337F32">
        <w:rPr>
          <w:b/>
          <w:color w:val="000000"/>
        </w:rPr>
        <w:tab/>
      </w:r>
      <w:r w:rsidRPr="00337F32">
        <w:rPr>
          <w:b/>
          <w:color w:val="000000"/>
        </w:rPr>
        <w:tab/>
      </w:r>
      <w:r w:rsidRPr="00337F32">
        <w:rPr>
          <w:b/>
          <w:color w:val="000000"/>
        </w:rPr>
        <w:tab/>
      </w:r>
      <w:r w:rsidRPr="00337F32">
        <w:rPr>
          <w:b/>
          <w:color w:val="000000"/>
        </w:rPr>
        <w:tab/>
      </w:r>
      <w:r w:rsidRPr="00337F32">
        <w:rPr>
          <w:b/>
          <w:color w:val="000000"/>
        </w:rPr>
        <w:tab/>
      </w:r>
      <w:r w:rsidRPr="00337F32">
        <w:rPr>
          <w:b/>
          <w:color w:val="000000"/>
        </w:rPr>
        <w:tab/>
      </w:r>
      <w:r w:rsidRPr="00337F32">
        <w:rPr>
          <w:b/>
          <w:color w:val="000000"/>
        </w:rPr>
        <w:tab/>
      </w:r>
    </w:p>
    <w:p w:rsidR="00191A8C" w:rsidRPr="00337F32" w:rsidP="00337F32" w14:paraId="0F55E068" w14:textId="77777777">
      <w:pPr>
        <w:pBdr>
          <w:top w:val="nil"/>
          <w:left w:val="nil"/>
          <w:bottom w:val="nil"/>
          <w:right w:val="nil"/>
          <w:between w:val="nil"/>
        </w:pBdr>
        <w:spacing w:after="160" w:line="480" w:lineRule="auto"/>
        <w:rPr>
          <w:color w:val="000000"/>
        </w:rPr>
      </w:pPr>
    </w:p>
    <w:p w:rsidR="00191A8C" w:rsidRPr="00337F32" w:rsidP="00337F32" w14:paraId="6C8EB8C4" w14:textId="77777777">
      <w:pPr>
        <w:pBdr>
          <w:top w:val="nil"/>
          <w:left w:val="nil"/>
          <w:bottom w:val="nil"/>
          <w:right w:val="nil"/>
          <w:between w:val="nil"/>
        </w:pBdr>
        <w:spacing w:after="160" w:line="480" w:lineRule="auto"/>
        <w:rPr>
          <w:color w:val="000000"/>
        </w:rPr>
      </w:pPr>
    </w:p>
    <w:p w:rsidR="00191A8C" w:rsidRPr="00337F32" w:rsidP="00337F32" w14:paraId="3A531FE1" w14:textId="77777777">
      <w:pPr>
        <w:keepNext/>
        <w:keepLines/>
        <w:pBdr>
          <w:top w:val="nil"/>
          <w:left w:val="nil"/>
          <w:bottom w:val="nil"/>
          <w:right w:val="nil"/>
          <w:between w:val="nil"/>
        </w:pBdr>
        <w:spacing w:before="240" w:line="480" w:lineRule="auto"/>
        <w:jc w:val="center"/>
        <w:rPr>
          <w:b/>
          <w:color w:val="000000"/>
        </w:rPr>
      </w:pPr>
    </w:p>
    <w:p w:rsidR="00191A8C" w:rsidRPr="00337F32" w:rsidP="00337F32" w14:paraId="21FACB23" w14:textId="77777777">
      <w:pPr>
        <w:keepNext/>
        <w:keepLines/>
        <w:pBdr>
          <w:top w:val="nil"/>
          <w:left w:val="nil"/>
          <w:bottom w:val="nil"/>
          <w:right w:val="nil"/>
          <w:between w:val="nil"/>
        </w:pBdr>
        <w:spacing w:before="240" w:line="480" w:lineRule="auto"/>
        <w:jc w:val="center"/>
        <w:rPr>
          <w:b/>
          <w:color w:val="000000"/>
        </w:rPr>
      </w:pPr>
    </w:p>
    <w:p w:rsidR="00191A8C" w:rsidRPr="00337F32" w:rsidP="00337F32" w14:paraId="2D4FD3BC" w14:textId="77777777">
      <w:pPr>
        <w:pBdr>
          <w:top w:val="nil"/>
          <w:left w:val="nil"/>
          <w:bottom w:val="nil"/>
          <w:right w:val="nil"/>
          <w:between w:val="nil"/>
        </w:pBdr>
        <w:spacing w:after="160" w:line="480" w:lineRule="auto"/>
        <w:rPr>
          <w:color w:val="000000"/>
        </w:rPr>
      </w:pPr>
    </w:p>
    <w:p w:rsidR="00191A8C" w:rsidRPr="00337F32" w:rsidP="00337F32" w14:paraId="6A7A9ADA" w14:textId="77777777">
      <w:pPr>
        <w:pBdr>
          <w:top w:val="nil"/>
          <w:left w:val="nil"/>
          <w:bottom w:val="nil"/>
          <w:right w:val="nil"/>
          <w:between w:val="nil"/>
        </w:pBdr>
        <w:spacing w:after="160" w:line="480" w:lineRule="auto"/>
        <w:rPr>
          <w:b/>
          <w:color w:val="000000"/>
        </w:rPr>
      </w:pPr>
    </w:p>
    <w:p w:rsidR="00191A8C" w:rsidRPr="00337F32" w:rsidP="00337F32" w14:paraId="7C9388F0" w14:textId="77777777">
      <w:pPr>
        <w:pBdr>
          <w:top w:val="nil"/>
          <w:left w:val="nil"/>
          <w:bottom w:val="nil"/>
          <w:right w:val="nil"/>
          <w:between w:val="nil"/>
        </w:pBdr>
        <w:spacing w:after="160" w:line="480" w:lineRule="auto"/>
        <w:rPr>
          <w:color w:val="000000"/>
        </w:rPr>
      </w:pPr>
      <w:r w:rsidRPr="00337F32">
        <w:br w:type="page"/>
      </w:r>
    </w:p>
    <w:p w:rsidR="00191A8C" w:rsidRPr="00337F32" w:rsidP="00337F32" w14:paraId="42F96708" w14:textId="77777777">
      <w:pPr>
        <w:pBdr>
          <w:top w:val="nil"/>
          <w:left w:val="nil"/>
          <w:bottom w:val="nil"/>
          <w:right w:val="nil"/>
          <w:between w:val="nil"/>
        </w:pBdr>
        <w:spacing w:after="160" w:line="480" w:lineRule="auto"/>
        <w:ind w:left="720" w:hanging="720"/>
        <w:jc w:val="center"/>
        <w:rPr>
          <w:color w:val="000000"/>
        </w:rPr>
      </w:pPr>
      <w:r w:rsidRPr="00337F32">
        <w:rPr>
          <w:color w:val="000000"/>
        </w:rPr>
        <w:t>References</w:t>
      </w:r>
    </w:p>
    <w:p w:rsidR="00337F32" w:rsidRPr="00337F32" w:rsidP="00337F32" w14:paraId="1C8471C5" w14:textId="2A9E58F8">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 xml:space="preserve">Allen, I. E., &amp; Seaman, J. (2017). Digital Compass Learning: Distance Education Enrollment </w:t>
      </w:r>
      <w:r>
        <w:rPr>
          <w:color w:val="222222"/>
          <w:shd w:val="clear" w:color="auto" w:fill="FFFFFF"/>
        </w:rPr>
        <w:tab/>
      </w:r>
      <w:r w:rsidRPr="00337F32">
        <w:rPr>
          <w:color w:val="222222"/>
          <w:shd w:val="clear" w:color="auto" w:fill="FFFFFF"/>
        </w:rPr>
        <w:t>Report 2017. </w:t>
      </w:r>
      <w:r w:rsidRPr="00337F32">
        <w:rPr>
          <w:i/>
          <w:iCs/>
          <w:color w:val="222222"/>
          <w:shd w:val="clear" w:color="auto" w:fill="FFFFFF"/>
        </w:rPr>
        <w:t>Babson survey research group</w:t>
      </w:r>
      <w:r w:rsidRPr="00337F32">
        <w:rPr>
          <w:color w:val="222222"/>
          <w:shd w:val="clear" w:color="auto" w:fill="FFFFFF"/>
        </w:rPr>
        <w:t>.</w:t>
      </w:r>
    </w:p>
    <w:p w:rsidR="00337F32" w:rsidRPr="00337F32" w:rsidP="00337F32" w14:paraId="200D497E" w14:textId="17C7F5F1">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Atkins, P., &amp;Frederico, M. (2017).</w:t>
      </w:r>
      <w:r w:rsidRPr="00337F32">
        <w:rPr>
          <w:color w:val="000000"/>
          <w:highlight w:val="white"/>
        </w:rPr>
        <w:t xml:space="preserve"> Supporting implementation of innovative social work</w:t>
      </w:r>
      <w:r>
        <w:rPr>
          <w:color w:val="000000"/>
          <w:highlight w:val="white"/>
        </w:rPr>
        <w:tab/>
      </w:r>
      <w:r w:rsidRPr="00337F32">
        <w:rPr>
          <w:color w:val="000000"/>
          <w:highlight w:val="white"/>
        </w:rPr>
        <w:t xml:space="preserve">practice: What factors really </w:t>
      </w:r>
      <w:r w:rsidRPr="00337F32">
        <w:rPr>
          <w:color w:val="000000"/>
          <w:highlight w:val="white"/>
        </w:rPr>
        <w:t>matter.</w:t>
      </w:r>
      <w:r w:rsidRPr="00337F32">
        <w:rPr>
          <w:color w:val="000000"/>
          <w:highlight w:val="white"/>
        </w:rPr>
        <w:t> </w:t>
      </w:r>
      <w:r w:rsidRPr="00337F32">
        <w:rPr>
          <w:i/>
          <w:color w:val="000000"/>
          <w:highlight w:val="white"/>
        </w:rPr>
        <w:t>British Journal of Social Work</w:t>
      </w:r>
      <w:r w:rsidRPr="00337F32">
        <w:rPr>
          <w:color w:val="000000"/>
          <w:highlight w:val="white"/>
        </w:rPr>
        <w:t>, </w:t>
      </w:r>
      <w:r w:rsidRPr="00337F32">
        <w:rPr>
          <w:i/>
          <w:color w:val="000000"/>
          <w:highlight w:val="white"/>
        </w:rPr>
        <w:t>47</w:t>
      </w:r>
      <w:r w:rsidRPr="00337F32">
        <w:rPr>
          <w:color w:val="000000"/>
          <w:highlight w:val="white"/>
        </w:rPr>
        <w:t>(6), 1723-1744.</w:t>
      </w:r>
    </w:p>
    <w:p w:rsidR="00337F32" w:rsidRPr="00337F32" w:rsidP="00337F32" w14:paraId="38C91FB8" w14:textId="6D32DBD7">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Augustine, M. G., &amp; Gentle-Genitty, C. (2013).</w:t>
      </w:r>
      <w:r w:rsidRPr="00337F32">
        <w:rPr>
          <w:color w:val="000000"/>
          <w:highlight w:val="white"/>
        </w:rPr>
        <w:t xml:space="preserve"> </w:t>
      </w:r>
      <w:r w:rsidRPr="00337F32">
        <w:rPr>
          <w:color w:val="000000"/>
          <w:highlight w:val="white"/>
        </w:rPr>
        <w:t xml:space="preserve">A perspective on the historical epistemology of </w:t>
      </w:r>
      <w:r>
        <w:rPr>
          <w:color w:val="000000"/>
          <w:highlight w:val="white"/>
        </w:rPr>
        <w:tab/>
      </w:r>
      <w:r w:rsidRPr="00337F32">
        <w:rPr>
          <w:color w:val="000000"/>
          <w:highlight w:val="white"/>
        </w:rPr>
        <w:t>social work education.</w:t>
      </w:r>
    </w:p>
    <w:p w:rsidR="00337F32" w:rsidRPr="00337F32" w:rsidP="00337F32" w14:paraId="16D2B17C" w14:textId="5328B746">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Barbour, M., Archambault, L., &amp; DiPietro, M. (2013).</w:t>
      </w:r>
      <w:r w:rsidRPr="00337F32">
        <w:rPr>
          <w:color w:val="222222"/>
          <w:shd w:val="clear" w:color="auto" w:fill="FFFFFF"/>
        </w:rPr>
        <w:t xml:space="preserve"> K–12 online distance education: Issues </w:t>
      </w:r>
      <w:r>
        <w:rPr>
          <w:color w:val="222222"/>
          <w:shd w:val="clear" w:color="auto" w:fill="FFFFFF"/>
        </w:rPr>
        <w:tab/>
      </w:r>
      <w:r w:rsidRPr="00337F32">
        <w:rPr>
          <w:color w:val="222222"/>
          <w:shd w:val="clear" w:color="auto" w:fill="FFFFFF"/>
        </w:rPr>
        <w:t>and frameworks.</w:t>
      </w:r>
    </w:p>
    <w:p w:rsidR="00337F32" w:rsidRPr="00337F32" w:rsidP="00337F32" w14:paraId="2BEF9B25" w14:textId="28D0EE48">
      <w:pPr>
        <w:pBdr>
          <w:top w:val="nil"/>
          <w:left w:val="nil"/>
          <w:bottom w:val="nil"/>
          <w:right w:val="nil"/>
          <w:between w:val="nil"/>
        </w:pBdr>
        <w:shd w:val="clear" w:color="auto" w:fill="FFFFFF"/>
        <w:spacing w:line="480" w:lineRule="auto"/>
        <w:ind w:right="75" w:hanging="720"/>
        <w:rPr>
          <w:color w:val="000000"/>
          <w:highlight w:val="white"/>
        </w:rPr>
      </w:pPr>
      <w:r>
        <w:rPr>
          <w:color w:val="000000"/>
          <w:highlight w:val="white"/>
        </w:rPr>
        <w:tab/>
      </w:r>
      <w:r w:rsidRPr="00337F32">
        <w:rPr>
          <w:color w:val="000000"/>
          <w:highlight w:val="white"/>
        </w:rPr>
        <w:t>Beddoe</w:t>
      </w:r>
      <w:r w:rsidRPr="00337F32">
        <w:rPr>
          <w:color w:val="000000"/>
          <w:highlight w:val="white"/>
        </w:rPr>
        <w:t xml:space="preserve">, L. (2016). A matter of degrees: The role of education in the </w:t>
      </w:r>
      <w:r w:rsidRPr="00337F32">
        <w:rPr>
          <w:color w:val="000000"/>
          <w:highlight w:val="white"/>
        </w:rPr>
        <w:t>professionalisation</w:t>
      </w:r>
      <w:r w:rsidRPr="00337F32">
        <w:rPr>
          <w:color w:val="000000"/>
          <w:highlight w:val="white"/>
        </w:rPr>
        <w:t xml:space="preserve"> journey </w:t>
      </w:r>
      <w:r>
        <w:rPr>
          <w:color w:val="000000"/>
          <w:highlight w:val="white"/>
        </w:rPr>
        <w:tab/>
      </w:r>
      <w:r w:rsidRPr="00337F32">
        <w:rPr>
          <w:color w:val="000000"/>
          <w:highlight w:val="white"/>
        </w:rPr>
        <w:t>of social work in New Zealand. </w:t>
      </w:r>
      <w:r w:rsidRPr="00337F32">
        <w:rPr>
          <w:i/>
          <w:color w:val="000000"/>
          <w:highlight w:val="white"/>
        </w:rPr>
        <w:t>Aotearoa</w:t>
      </w:r>
      <w:r w:rsidRPr="00337F32">
        <w:rPr>
          <w:i/>
          <w:color w:val="000000"/>
          <w:highlight w:val="white"/>
        </w:rPr>
        <w:t xml:space="preserve"> New Zealand Social Work</w:t>
      </w:r>
      <w:r w:rsidRPr="00337F32">
        <w:rPr>
          <w:color w:val="000000"/>
          <w:highlight w:val="white"/>
        </w:rPr>
        <w:t>, </w:t>
      </w:r>
      <w:r w:rsidRPr="00337F32">
        <w:rPr>
          <w:i/>
          <w:color w:val="000000"/>
          <w:highlight w:val="white"/>
        </w:rPr>
        <w:t>26</w:t>
      </w:r>
      <w:r w:rsidRPr="00337F32">
        <w:rPr>
          <w:color w:val="000000"/>
          <w:highlight w:val="white"/>
        </w:rPr>
        <w:t>(2-3), 17-</w:t>
      </w:r>
      <w:r>
        <w:rPr>
          <w:color w:val="000000"/>
          <w:highlight w:val="white"/>
        </w:rPr>
        <w:tab/>
      </w:r>
      <w:r w:rsidRPr="00337F32">
        <w:rPr>
          <w:color w:val="000000"/>
          <w:highlight w:val="white"/>
        </w:rPr>
        <w:t>28.</w:t>
      </w:r>
    </w:p>
    <w:p w:rsidR="00337F32" w:rsidRPr="00337F32" w:rsidP="00337F32" w14:paraId="221F9DA7" w14:textId="6D30F249">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 xml:space="preserve">Boling, E. C., Hough, M., </w:t>
      </w:r>
      <w:r w:rsidRPr="00337F32">
        <w:rPr>
          <w:color w:val="222222"/>
          <w:shd w:val="clear" w:color="auto" w:fill="FFFFFF"/>
        </w:rPr>
        <w:t>Krinsky</w:t>
      </w:r>
      <w:r w:rsidRPr="00337F32">
        <w:rPr>
          <w:color w:val="222222"/>
          <w:shd w:val="clear" w:color="auto" w:fill="FFFFFF"/>
        </w:rPr>
        <w:t>, H., Saleem, H., &amp; Stevens, M. (2012).</w:t>
      </w:r>
      <w:r w:rsidRPr="00337F32">
        <w:rPr>
          <w:color w:val="222222"/>
          <w:shd w:val="clear" w:color="auto" w:fill="FFFFFF"/>
        </w:rPr>
        <w:t xml:space="preserve"> </w:t>
      </w:r>
      <w:r w:rsidRPr="00337F32">
        <w:rPr>
          <w:color w:val="222222"/>
          <w:shd w:val="clear" w:color="auto" w:fill="FFFFFF"/>
        </w:rPr>
        <w:t xml:space="preserve">Cutting the distance in </w:t>
      </w:r>
      <w:r>
        <w:rPr>
          <w:color w:val="222222"/>
          <w:shd w:val="clear" w:color="auto" w:fill="FFFFFF"/>
        </w:rPr>
        <w:tab/>
      </w:r>
      <w:r w:rsidRPr="00337F32">
        <w:rPr>
          <w:color w:val="222222"/>
          <w:shd w:val="clear" w:color="auto" w:fill="FFFFFF"/>
        </w:rPr>
        <w:t xml:space="preserve">distance education: Perspectives on what promotes positive, online learning </w:t>
      </w:r>
      <w:r>
        <w:rPr>
          <w:color w:val="222222"/>
          <w:shd w:val="clear" w:color="auto" w:fill="FFFFFF"/>
        </w:rPr>
        <w:tab/>
      </w:r>
      <w:r w:rsidRPr="00337F32">
        <w:rPr>
          <w:color w:val="222222"/>
          <w:shd w:val="clear" w:color="auto" w:fill="FFFFFF"/>
        </w:rPr>
        <w:t>experiences.</w:t>
      </w:r>
      <w:r w:rsidRPr="00337F32">
        <w:rPr>
          <w:color w:val="222222"/>
          <w:shd w:val="clear" w:color="auto" w:fill="FFFFFF"/>
        </w:rPr>
        <w:t> </w:t>
      </w:r>
      <w:r w:rsidRPr="00337F32">
        <w:rPr>
          <w:i/>
          <w:iCs/>
          <w:color w:val="222222"/>
          <w:shd w:val="clear" w:color="auto" w:fill="FFFFFF"/>
        </w:rPr>
        <w:t>The Internet and Higher Education</w:t>
      </w:r>
      <w:r w:rsidRPr="00337F32">
        <w:rPr>
          <w:color w:val="222222"/>
          <w:shd w:val="clear" w:color="auto" w:fill="FFFFFF"/>
        </w:rPr>
        <w:t>, </w:t>
      </w:r>
      <w:r w:rsidRPr="00337F32">
        <w:rPr>
          <w:i/>
          <w:iCs/>
          <w:color w:val="222222"/>
          <w:shd w:val="clear" w:color="auto" w:fill="FFFFFF"/>
        </w:rPr>
        <w:t>15</w:t>
      </w:r>
      <w:r w:rsidRPr="00337F32">
        <w:rPr>
          <w:color w:val="222222"/>
          <w:shd w:val="clear" w:color="auto" w:fill="FFFFFF"/>
        </w:rPr>
        <w:t>(2), 118-126.</w:t>
      </w:r>
    </w:p>
    <w:p w:rsidR="00337F32" w:rsidRPr="00337F32" w:rsidP="00337F32" w14:paraId="31EFE6E3" w14:textId="6AACF2E2">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Bowen, H. (2018). </w:t>
      </w:r>
      <w:r w:rsidRPr="00337F32">
        <w:rPr>
          <w:i/>
          <w:color w:val="000000"/>
          <w:highlight w:val="white"/>
        </w:rPr>
        <w:t xml:space="preserve">Investment in learning: The individual and social value of American higher </w:t>
      </w:r>
      <w:r>
        <w:rPr>
          <w:i/>
          <w:color w:val="000000"/>
          <w:highlight w:val="white"/>
        </w:rPr>
        <w:tab/>
      </w:r>
      <w:r w:rsidRPr="00337F32">
        <w:rPr>
          <w:i/>
          <w:color w:val="000000"/>
          <w:highlight w:val="white"/>
        </w:rPr>
        <w:t>education</w:t>
      </w:r>
      <w:r w:rsidRPr="00337F32">
        <w:rPr>
          <w:color w:val="000000"/>
          <w:highlight w:val="white"/>
        </w:rPr>
        <w:t xml:space="preserve">. </w:t>
      </w:r>
      <w:r w:rsidRPr="00337F32">
        <w:rPr>
          <w:color w:val="000000"/>
          <w:highlight w:val="white"/>
        </w:rPr>
        <w:t>Routledge.</w:t>
      </w:r>
    </w:p>
    <w:p w:rsidR="00337F32" w:rsidRPr="00337F32" w:rsidP="00337F32" w14:paraId="5B79566C" w14:textId="20A86006">
      <w:pPr>
        <w:pBdr>
          <w:top w:val="nil"/>
          <w:left w:val="nil"/>
          <w:bottom w:val="nil"/>
          <w:right w:val="nil"/>
          <w:between w:val="nil"/>
        </w:pBdr>
        <w:spacing w:line="480" w:lineRule="auto"/>
        <w:ind w:hanging="720"/>
        <w:rPr>
          <w:color w:val="000000"/>
          <w:highlight w:val="white"/>
        </w:rPr>
      </w:pPr>
      <w:r>
        <w:rPr>
          <w:color w:val="000000"/>
          <w:highlight w:val="white"/>
        </w:rPr>
        <w:tab/>
      </w:r>
      <w:r w:rsidRPr="00337F32">
        <w:rPr>
          <w:color w:val="000000"/>
          <w:highlight w:val="white"/>
        </w:rPr>
        <w:t xml:space="preserve">Broadbent, J., </w:t>
      </w:r>
      <w:r>
        <w:rPr>
          <w:color w:val="000000"/>
          <w:highlight w:val="white"/>
        </w:rPr>
        <w:tab/>
      </w:r>
      <w:r w:rsidRPr="00337F32">
        <w:rPr>
          <w:color w:val="000000"/>
          <w:highlight w:val="white"/>
        </w:rPr>
        <w:t>&amp; Poon, W. L. (2015).</w:t>
      </w:r>
      <w:r w:rsidRPr="00337F32">
        <w:rPr>
          <w:color w:val="000000"/>
          <w:highlight w:val="white"/>
        </w:rPr>
        <w:t xml:space="preserve"> </w:t>
      </w:r>
      <w:r w:rsidRPr="00337F32">
        <w:rPr>
          <w:color w:val="000000"/>
          <w:highlight w:val="white"/>
        </w:rPr>
        <w:t xml:space="preserve">Self-regulated learning strategies &amp; academic achievement </w:t>
      </w:r>
      <w:r>
        <w:rPr>
          <w:color w:val="000000"/>
          <w:highlight w:val="white"/>
        </w:rPr>
        <w:tab/>
      </w:r>
      <w:r w:rsidRPr="00337F32">
        <w:rPr>
          <w:color w:val="000000"/>
          <w:highlight w:val="white"/>
        </w:rPr>
        <w:t>in online higher education learning environments: A systematic review.</w:t>
      </w:r>
      <w:r w:rsidRPr="00337F32">
        <w:rPr>
          <w:color w:val="000000"/>
          <w:highlight w:val="white"/>
        </w:rPr>
        <w:t> </w:t>
      </w:r>
      <w:r w:rsidRPr="00337F32">
        <w:rPr>
          <w:i/>
          <w:color w:val="000000"/>
          <w:highlight w:val="white"/>
        </w:rPr>
        <w:t xml:space="preserve">The Internet and </w:t>
      </w:r>
      <w:r>
        <w:rPr>
          <w:i/>
          <w:color w:val="000000"/>
          <w:highlight w:val="white"/>
        </w:rPr>
        <w:tab/>
      </w:r>
      <w:r w:rsidRPr="00337F32">
        <w:rPr>
          <w:i/>
          <w:color w:val="000000"/>
          <w:highlight w:val="white"/>
        </w:rPr>
        <w:t>Higher Education</w:t>
      </w:r>
      <w:r w:rsidRPr="00337F32">
        <w:rPr>
          <w:color w:val="000000"/>
          <w:highlight w:val="white"/>
        </w:rPr>
        <w:t>, </w:t>
      </w:r>
      <w:r w:rsidRPr="00337F32">
        <w:rPr>
          <w:i/>
          <w:color w:val="000000"/>
          <w:highlight w:val="white"/>
        </w:rPr>
        <w:t>27</w:t>
      </w:r>
      <w:r w:rsidRPr="00337F32">
        <w:rPr>
          <w:color w:val="000000"/>
          <w:highlight w:val="white"/>
        </w:rPr>
        <w:t>, 1-13.</w:t>
      </w:r>
    </w:p>
    <w:p w:rsidR="00337F32" w:rsidRPr="00337F32" w:rsidP="00337F32" w14:paraId="58F563C5" w14:textId="09E810CA">
      <w:pPr>
        <w:pBdr>
          <w:top w:val="nil"/>
          <w:left w:val="nil"/>
          <w:bottom w:val="nil"/>
          <w:right w:val="nil"/>
          <w:between w:val="nil"/>
        </w:pBdr>
        <w:spacing w:line="480" w:lineRule="auto"/>
        <w:ind w:hanging="720"/>
        <w:rPr>
          <w:color w:val="000000"/>
          <w:highlight w:val="white"/>
        </w:rPr>
      </w:pPr>
      <w:r>
        <w:rPr>
          <w:color w:val="000000"/>
          <w:highlight w:val="white"/>
        </w:rPr>
        <w:tab/>
      </w:r>
      <w:r w:rsidRPr="00337F32">
        <w:rPr>
          <w:color w:val="000000"/>
          <w:highlight w:val="white"/>
        </w:rPr>
        <w:t xml:space="preserve">Bryson, C. (2016). Engagement through partnership: Students as partners in learning and </w:t>
      </w:r>
      <w:r>
        <w:rPr>
          <w:color w:val="000000"/>
          <w:highlight w:val="white"/>
        </w:rPr>
        <w:tab/>
      </w:r>
      <w:r w:rsidRPr="00337F32">
        <w:rPr>
          <w:color w:val="000000"/>
          <w:highlight w:val="white"/>
        </w:rPr>
        <w:t>teaching in higher education.</w:t>
      </w:r>
    </w:p>
    <w:p w:rsidR="00337F32" w:rsidRPr="00337F32" w:rsidP="00337F32" w14:paraId="5901640B" w14:textId="38468647">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Caruth</w:t>
      </w:r>
      <w:r w:rsidRPr="00337F32">
        <w:rPr>
          <w:color w:val="222222"/>
          <w:shd w:val="clear" w:color="auto" w:fill="FFFFFF"/>
        </w:rPr>
        <w:t xml:space="preserve">, G. D., </w:t>
      </w:r>
      <w:r>
        <w:rPr>
          <w:color w:val="222222"/>
          <w:shd w:val="clear" w:color="auto" w:fill="FFFFFF"/>
        </w:rPr>
        <w:tab/>
      </w:r>
      <w:r w:rsidRPr="00337F32">
        <w:rPr>
          <w:color w:val="222222"/>
          <w:shd w:val="clear" w:color="auto" w:fill="FFFFFF"/>
        </w:rPr>
        <w:t xml:space="preserve">&amp; </w:t>
      </w:r>
      <w:r w:rsidRPr="00337F32">
        <w:rPr>
          <w:color w:val="222222"/>
          <w:shd w:val="clear" w:color="auto" w:fill="FFFFFF"/>
        </w:rPr>
        <w:t>Caruth</w:t>
      </w:r>
      <w:r w:rsidRPr="00337F32">
        <w:rPr>
          <w:color w:val="222222"/>
          <w:shd w:val="clear" w:color="auto" w:fill="FFFFFF"/>
        </w:rPr>
        <w:t>, D. L. (2013).</w:t>
      </w:r>
      <w:r w:rsidRPr="00337F32">
        <w:rPr>
          <w:color w:val="222222"/>
          <w:shd w:val="clear" w:color="auto" w:fill="FFFFFF"/>
        </w:rPr>
        <w:t xml:space="preserve"> Distance education in the United States: From </w:t>
      </w:r>
      <w:r>
        <w:rPr>
          <w:color w:val="222222"/>
          <w:shd w:val="clear" w:color="auto" w:fill="FFFFFF"/>
        </w:rPr>
        <w:tab/>
      </w:r>
      <w:r w:rsidRPr="00337F32">
        <w:rPr>
          <w:color w:val="222222"/>
          <w:shd w:val="clear" w:color="auto" w:fill="FFFFFF"/>
        </w:rPr>
        <w:t>correspondence courses to the internet. </w:t>
      </w:r>
      <w:r w:rsidRPr="00337F32">
        <w:rPr>
          <w:i/>
          <w:iCs/>
          <w:color w:val="222222"/>
          <w:shd w:val="clear" w:color="auto" w:fill="FFFFFF"/>
        </w:rPr>
        <w:t xml:space="preserve">Turkish Online Journal of Distance </w:t>
      </w:r>
      <w:r>
        <w:rPr>
          <w:i/>
          <w:iCs/>
          <w:color w:val="222222"/>
          <w:shd w:val="clear" w:color="auto" w:fill="FFFFFF"/>
        </w:rPr>
        <w:tab/>
      </w:r>
      <w:r w:rsidRPr="00337F32">
        <w:rPr>
          <w:i/>
          <w:iCs/>
          <w:color w:val="222222"/>
          <w:shd w:val="clear" w:color="auto" w:fill="FFFFFF"/>
        </w:rPr>
        <w:t>Education</w:t>
      </w:r>
      <w:r w:rsidRPr="00337F32">
        <w:rPr>
          <w:color w:val="222222"/>
          <w:shd w:val="clear" w:color="auto" w:fill="FFFFFF"/>
        </w:rPr>
        <w:t>, </w:t>
      </w:r>
      <w:r w:rsidRPr="00337F32">
        <w:rPr>
          <w:i/>
          <w:iCs/>
          <w:color w:val="222222"/>
          <w:shd w:val="clear" w:color="auto" w:fill="FFFFFF"/>
        </w:rPr>
        <w:t>14</w:t>
      </w:r>
      <w:r w:rsidRPr="00337F32">
        <w:rPr>
          <w:color w:val="222222"/>
          <w:shd w:val="clear" w:color="auto" w:fill="FFFFFF"/>
        </w:rPr>
        <w:t>(2), 141-149.</w:t>
      </w:r>
    </w:p>
    <w:p w:rsidR="00337F32" w:rsidRPr="00337F32" w:rsidP="00337F32" w14:paraId="2567CDEB" w14:textId="25E5616D">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Collins, A., &amp; Halverson, R. (2018).</w:t>
      </w:r>
      <w:r w:rsidRPr="00337F32">
        <w:rPr>
          <w:color w:val="000000"/>
          <w:highlight w:val="white"/>
        </w:rPr>
        <w:t> </w:t>
      </w:r>
      <w:r w:rsidRPr="00337F32">
        <w:rPr>
          <w:i/>
          <w:color w:val="000000"/>
          <w:highlight w:val="white"/>
        </w:rPr>
        <w:t xml:space="preserve">Rethinking education in the age of technology: The digital </w:t>
      </w:r>
      <w:r>
        <w:rPr>
          <w:i/>
          <w:color w:val="000000"/>
          <w:highlight w:val="white"/>
        </w:rPr>
        <w:tab/>
      </w:r>
      <w:r w:rsidRPr="00337F32">
        <w:rPr>
          <w:i/>
          <w:color w:val="000000"/>
          <w:highlight w:val="white"/>
        </w:rPr>
        <w:t>revolution and schooling in America</w:t>
      </w:r>
      <w:r w:rsidRPr="00337F32">
        <w:rPr>
          <w:color w:val="000000"/>
          <w:highlight w:val="white"/>
        </w:rPr>
        <w:t>.</w:t>
      </w:r>
      <w:r w:rsidRPr="00337F32">
        <w:rPr>
          <w:color w:val="000000"/>
          <w:highlight w:val="white"/>
        </w:rPr>
        <w:t xml:space="preserve"> </w:t>
      </w:r>
      <w:r w:rsidRPr="00337F32">
        <w:rPr>
          <w:color w:val="000000"/>
          <w:highlight w:val="white"/>
        </w:rPr>
        <w:t>Teachers College Press.</w:t>
      </w:r>
    </w:p>
    <w:p w:rsidR="00337F32" w:rsidRPr="00337F32" w:rsidP="00337F32" w14:paraId="1A5374A2" w14:textId="5353FF45">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Cropanzano</w:t>
      </w:r>
      <w:r w:rsidRPr="00337F32">
        <w:rPr>
          <w:color w:val="000000"/>
          <w:highlight w:val="white"/>
        </w:rPr>
        <w:t>, R., Anthony, E. L., Daniels, S. R., &amp; Hall, A. V. (2017).</w:t>
      </w:r>
      <w:r w:rsidRPr="00337F32">
        <w:rPr>
          <w:color w:val="000000"/>
          <w:highlight w:val="white"/>
        </w:rPr>
        <w:t xml:space="preserve"> Social exchange theory: A </w:t>
      </w:r>
      <w:r>
        <w:rPr>
          <w:color w:val="000000"/>
          <w:highlight w:val="white"/>
        </w:rPr>
        <w:tab/>
      </w:r>
      <w:r w:rsidRPr="00337F32">
        <w:rPr>
          <w:color w:val="000000"/>
          <w:highlight w:val="white"/>
        </w:rPr>
        <w:t>critical review with theoretical remedies. </w:t>
      </w:r>
      <w:r w:rsidRPr="00337F32">
        <w:rPr>
          <w:i/>
          <w:color w:val="000000"/>
          <w:highlight w:val="white"/>
        </w:rPr>
        <w:t>Academy of Management Annals</w:t>
      </w:r>
      <w:r w:rsidRPr="00337F32">
        <w:rPr>
          <w:color w:val="000000"/>
          <w:highlight w:val="white"/>
        </w:rPr>
        <w:t>, </w:t>
      </w:r>
      <w:r w:rsidRPr="00337F32">
        <w:rPr>
          <w:i/>
          <w:color w:val="000000"/>
          <w:highlight w:val="white"/>
        </w:rPr>
        <w:t>11</w:t>
      </w:r>
      <w:r w:rsidRPr="00337F32">
        <w:rPr>
          <w:color w:val="000000"/>
          <w:highlight w:val="white"/>
        </w:rPr>
        <w:t>(1), 479-</w:t>
      </w:r>
      <w:r>
        <w:rPr>
          <w:color w:val="000000"/>
          <w:highlight w:val="white"/>
        </w:rPr>
        <w:tab/>
      </w:r>
      <w:r w:rsidRPr="00337F32">
        <w:rPr>
          <w:color w:val="000000"/>
          <w:highlight w:val="white"/>
        </w:rPr>
        <w:t>516.</w:t>
      </w:r>
    </w:p>
    <w:p w:rsidR="00337F32" w:rsidRPr="00337F32" w:rsidP="00337F32" w14:paraId="0EAE308A" w14:textId="174DE1CC">
      <w:pPr>
        <w:pBdr>
          <w:top w:val="nil"/>
          <w:left w:val="nil"/>
          <w:bottom w:val="nil"/>
          <w:right w:val="nil"/>
          <w:between w:val="nil"/>
        </w:pBdr>
        <w:spacing w:line="480" w:lineRule="auto"/>
        <w:ind w:hanging="720"/>
        <w:rPr>
          <w:color w:val="000000"/>
        </w:rPr>
      </w:pPr>
      <w:r>
        <w:tab/>
      </w:r>
      <w:r w:rsidRPr="00337F32">
        <w:t>Cummings, S., M., Kate M. C., &amp; Clifford C. (2015).</w:t>
      </w:r>
      <w:r w:rsidRPr="00337F32">
        <w:t xml:space="preserve"> Comparative Analysis of an Online and a </w:t>
      </w:r>
      <w:r>
        <w:tab/>
      </w:r>
      <w:r w:rsidRPr="00337F32">
        <w:t xml:space="preserve">Traditional MSW Program: Educational Outcomes 2(5)1-13. </w:t>
      </w:r>
    </w:p>
    <w:p w:rsidR="00337F32" w:rsidRPr="00337F32" w:rsidP="00337F32" w14:paraId="4B88CEC3" w14:textId="12D469B7">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Dash, B. M., &amp;</w:t>
      </w:r>
      <w:r w:rsidRPr="00337F32">
        <w:rPr>
          <w:color w:val="000000"/>
          <w:highlight w:val="white"/>
        </w:rPr>
        <w:t>Botcha</w:t>
      </w:r>
      <w:r w:rsidRPr="00337F32">
        <w:rPr>
          <w:color w:val="000000"/>
          <w:highlight w:val="white"/>
        </w:rPr>
        <w:t>, R. (2018).</w:t>
      </w:r>
      <w:r w:rsidRPr="00337F32">
        <w:rPr>
          <w:color w:val="000000"/>
          <w:highlight w:val="white"/>
        </w:rPr>
        <w:t xml:space="preserve"> Social Work Education through Open and Distance Learning: </w:t>
      </w:r>
      <w:r>
        <w:rPr>
          <w:color w:val="000000"/>
          <w:highlight w:val="white"/>
        </w:rPr>
        <w:tab/>
      </w:r>
      <w:r w:rsidRPr="00337F32">
        <w:rPr>
          <w:color w:val="000000"/>
          <w:highlight w:val="white"/>
        </w:rPr>
        <w:t>An Indian Perspective. </w:t>
      </w:r>
      <w:r w:rsidRPr="00337F32">
        <w:rPr>
          <w:i/>
          <w:color w:val="000000"/>
          <w:highlight w:val="white"/>
        </w:rPr>
        <w:t>Turkish Online Journal of Distance Education</w:t>
      </w:r>
      <w:r w:rsidRPr="00337F32">
        <w:rPr>
          <w:color w:val="000000"/>
          <w:highlight w:val="white"/>
        </w:rPr>
        <w:t>, </w:t>
      </w:r>
      <w:r w:rsidRPr="00337F32">
        <w:rPr>
          <w:i/>
          <w:color w:val="000000"/>
          <w:highlight w:val="white"/>
        </w:rPr>
        <w:t>19</w:t>
      </w:r>
      <w:r w:rsidRPr="00337F32">
        <w:rPr>
          <w:color w:val="000000"/>
          <w:highlight w:val="white"/>
        </w:rPr>
        <w:t>(2), 149-165.</w:t>
      </w:r>
    </w:p>
    <w:p w:rsidR="00337F32" w:rsidRPr="00337F32" w:rsidP="00337F32" w14:paraId="5A70E442" w14:textId="79E85297">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Fook</w:t>
      </w:r>
      <w:r w:rsidRPr="00337F32">
        <w:rPr>
          <w:color w:val="000000"/>
          <w:highlight w:val="white"/>
        </w:rPr>
        <w:t>, J. (2016). </w:t>
      </w:r>
      <w:r w:rsidRPr="00337F32">
        <w:rPr>
          <w:i/>
          <w:color w:val="000000"/>
          <w:highlight w:val="white"/>
        </w:rPr>
        <w:t>Social work: A critical approach to practice</w:t>
      </w:r>
      <w:r w:rsidRPr="00337F32">
        <w:rPr>
          <w:color w:val="000000"/>
          <w:highlight w:val="white"/>
        </w:rPr>
        <w:t xml:space="preserve">. </w:t>
      </w:r>
      <w:r w:rsidRPr="00337F32">
        <w:rPr>
          <w:color w:val="000000"/>
          <w:highlight w:val="white"/>
        </w:rPr>
        <w:t>Sage.</w:t>
      </w:r>
    </w:p>
    <w:p w:rsidR="00337F32" w:rsidRPr="00337F32" w:rsidP="00337F32" w14:paraId="37F19484" w14:textId="29F5DA57">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 xml:space="preserve">Greene, R. R. (2017). </w:t>
      </w:r>
      <w:r w:rsidRPr="00337F32">
        <w:rPr>
          <w:color w:val="000000"/>
          <w:highlight w:val="white"/>
        </w:rPr>
        <w:t>Human Behavior Theory and Professional Social Work Practice.</w:t>
      </w:r>
      <w:r w:rsidRPr="00337F32">
        <w:rPr>
          <w:color w:val="000000"/>
          <w:highlight w:val="white"/>
        </w:rPr>
        <w:t xml:space="preserve"> </w:t>
      </w:r>
      <w:r>
        <w:rPr>
          <w:color w:val="000000"/>
          <w:highlight w:val="white"/>
        </w:rPr>
        <w:tab/>
      </w:r>
      <w:r w:rsidRPr="00337F32">
        <w:rPr>
          <w:color w:val="000000"/>
          <w:highlight w:val="white"/>
        </w:rPr>
        <w:t>In </w:t>
      </w:r>
      <w:r w:rsidRPr="00337F32">
        <w:rPr>
          <w:i/>
          <w:color w:val="000000"/>
          <w:highlight w:val="white"/>
        </w:rPr>
        <w:t>Human Behavior Theory and Social Work Practice</w:t>
      </w:r>
      <w:r w:rsidRPr="00337F32">
        <w:rPr>
          <w:color w:val="000000"/>
          <w:highlight w:val="white"/>
        </w:rPr>
        <w:t xml:space="preserve"> (pp. 31-62). </w:t>
      </w:r>
      <w:r w:rsidRPr="00337F32">
        <w:rPr>
          <w:color w:val="000000"/>
          <w:highlight w:val="white"/>
        </w:rPr>
        <w:t>Routledge.</w:t>
      </w:r>
    </w:p>
    <w:p w:rsidR="00337F32" w:rsidRPr="00337F32" w:rsidP="00337F32" w14:paraId="49DB4BF1" w14:textId="57C6014A">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Hill, P. (2014). Online educational delivery models: A descriptive view.</w:t>
      </w:r>
    </w:p>
    <w:p w:rsidR="00337F32" w:rsidRPr="00337F32" w:rsidP="00337F32" w14:paraId="7CFD3B08" w14:textId="1BEA6083">
      <w:pPr>
        <w:spacing w:line="480" w:lineRule="auto"/>
        <w:ind w:hanging="720"/>
        <w:rPr>
          <w:color w:val="222222"/>
          <w:shd w:val="clear" w:color="auto" w:fill="FFFFFF"/>
        </w:rPr>
      </w:pPr>
      <w:r>
        <w:rPr>
          <w:color w:val="222222"/>
          <w:shd w:val="clear" w:color="auto" w:fill="FFFFFF"/>
        </w:rPr>
        <w:tab/>
      </w:r>
      <w:r>
        <w:rPr>
          <w:color w:val="222222"/>
          <w:shd w:val="clear" w:color="auto" w:fill="FFFFFF"/>
        </w:rPr>
        <w:tab/>
      </w:r>
      <w:r w:rsidRPr="00337F32">
        <w:rPr>
          <w:color w:val="222222"/>
          <w:shd w:val="clear" w:color="auto" w:fill="FFFFFF"/>
        </w:rPr>
        <w:t>Hismanoglu</w:t>
      </w:r>
      <w:r w:rsidRPr="00337F32">
        <w:rPr>
          <w:color w:val="222222"/>
          <w:shd w:val="clear" w:color="auto" w:fill="FFFFFF"/>
        </w:rPr>
        <w:t>, M. (2012).</w:t>
      </w:r>
      <w:r w:rsidRPr="00337F32">
        <w:rPr>
          <w:color w:val="222222"/>
          <w:shd w:val="clear" w:color="auto" w:fill="FFFFFF"/>
        </w:rPr>
        <w:t xml:space="preserve"> Prospective EFL teachers' perceptions of ICT integration: A </w:t>
      </w:r>
      <w:r>
        <w:rPr>
          <w:color w:val="222222"/>
          <w:shd w:val="clear" w:color="auto" w:fill="FFFFFF"/>
        </w:rPr>
        <w:tab/>
      </w:r>
      <w:r w:rsidRPr="00337F32">
        <w:rPr>
          <w:color w:val="222222"/>
          <w:shd w:val="clear" w:color="auto" w:fill="FFFFFF"/>
        </w:rPr>
        <w:t>study of distance higher education in Turkey. </w:t>
      </w:r>
      <w:r w:rsidRPr="00337F32">
        <w:rPr>
          <w:i/>
          <w:iCs/>
          <w:color w:val="222222"/>
          <w:shd w:val="clear" w:color="auto" w:fill="FFFFFF"/>
        </w:rPr>
        <w:t xml:space="preserve">Journal of Educational Technology &amp; </w:t>
      </w:r>
      <w:r>
        <w:rPr>
          <w:i/>
          <w:iCs/>
          <w:color w:val="222222"/>
          <w:shd w:val="clear" w:color="auto" w:fill="FFFFFF"/>
        </w:rPr>
        <w:tab/>
      </w:r>
      <w:r w:rsidRPr="00337F32">
        <w:rPr>
          <w:i/>
          <w:iCs/>
          <w:color w:val="222222"/>
          <w:shd w:val="clear" w:color="auto" w:fill="FFFFFF"/>
        </w:rPr>
        <w:t>Society</w:t>
      </w:r>
      <w:r w:rsidRPr="00337F32">
        <w:rPr>
          <w:color w:val="222222"/>
          <w:shd w:val="clear" w:color="auto" w:fill="FFFFFF"/>
        </w:rPr>
        <w:t>, </w:t>
      </w:r>
      <w:r w:rsidRPr="00337F32">
        <w:rPr>
          <w:i/>
          <w:iCs/>
          <w:color w:val="222222"/>
          <w:shd w:val="clear" w:color="auto" w:fill="FFFFFF"/>
        </w:rPr>
        <w:t>15</w:t>
      </w:r>
      <w:r w:rsidRPr="00337F32">
        <w:rPr>
          <w:color w:val="222222"/>
          <w:shd w:val="clear" w:color="auto" w:fill="FFFFFF"/>
        </w:rPr>
        <w:t>(1), 185-196.</w:t>
      </w:r>
    </w:p>
    <w:p w:rsidR="00337F32" w:rsidRPr="00337F32" w:rsidP="00337F32" w14:paraId="19CEA3FC" w14:textId="5703D6D4">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Hockridge</w:t>
      </w:r>
      <w:r w:rsidRPr="00337F32">
        <w:rPr>
          <w:color w:val="000000"/>
          <w:highlight w:val="white"/>
        </w:rPr>
        <w:t xml:space="preserve">, D. (2013). </w:t>
      </w:r>
      <w:r w:rsidRPr="00337F32">
        <w:rPr>
          <w:color w:val="000000"/>
          <w:highlight w:val="white"/>
        </w:rPr>
        <w:t xml:space="preserve">Challenges for educators using distance and online education to prepare </w:t>
      </w:r>
      <w:r>
        <w:rPr>
          <w:color w:val="000000"/>
          <w:highlight w:val="white"/>
        </w:rPr>
        <w:tab/>
      </w:r>
      <w:r w:rsidRPr="00337F32">
        <w:rPr>
          <w:color w:val="000000"/>
          <w:highlight w:val="white"/>
        </w:rPr>
        <w:t>students for relational professions.</w:t>
      </w:r>
      <w:r w:rsidRPr="00337F32">
        <w:rPr>
          <w:color w:val="000000"/>
          <w:highlight w:val="white"/>
        </w:rPr>
        <w:t> </w:t>
      </w:r>
      <w:r w:rsidRPr="00337F32">
        <w:rPr>
          <w:i/>
          <w:color w:val="000000"/>
          <w:highlight w:val="white"/>
        </w:rPr>
        <w:t>Distance Education</w:t>
      </w:r>
      <w:r w:rsidRPr="00337F32">
        <w:rPr>
          <w:color w:val="000000"/>
          <w:highlight w:val="white"/>
        </w:rPr>
        <w:t>, </w:t>
      </w:r>
      <w:r w:rsidRPr="00337F32">
        <w:rPr>
          <w:i/>
          <w:color w:val="000000"/>
          <w:highlight w:val="white"/>
        </w:rPr>
        <w:t>34</w:t>
      </w:r>
      <w:r w:rsidRPr="00337F32">
        <w:rPr>
          <w:color w:val="000000"/>
          <w:highlight w:val="white"/>
        </w:rPr>
        <w:t>(2), 142-160.</w:t>
      </w:r>
    </w:p>
    <w:p w:rsidR="00337F32" w:rsidRPr="00337F32" w:rsidP="00337F32" w14:paraId="2775BA9D" w14:textId="6CBAF980">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Jelfs</w:t>
      </w:r>
      <w:r w:rsidRPr="00337F32">
        <w:rPr>
          <w:color w:val="222222"/>
          <w:shd w:val="clear" w:color="auto" w:fill="FFFFFF"/>
        </w:rPr>
        <w:t>, A., &amp; Richardson, J. T. (2013).</w:t>
      </w:r>
      <w:r w:rsidRPr="00337F32">
        <w:rPr>
          <w:color w:val="222222"/>
          <w:shd w:val="clear" w:color="auto" w:fill="FFFFFF"/>
        </w:rPr>
        <w:t xml:space="preserve"> </w:t>
      </w:r>
      <w:r w:rsidRPr="00337F32">
        <w:rPr>
          <w:color w:val="222222"/>
          <w:shd w:val="clear" w:color="auto" w:fill="FFFFFF"/>
        </w:rPr>
        <w:t xml:space="preserve">The use of digital technologies across the adult life span in </w:t>
      </w:r>
      <w:r>
        <w:rPr>
          <w:color w:val="222222"/>
          <w:shd w:val="clear" w:color="auto" w:fill="FFFFFF"/>
        </w:rPr>
        <w:tab/>
      </w:r>
      <w:r w:rsidRPr="00337F32">
        <w:rPr>
          <w:color w:val="222222"/>
          <w:shd w:val="clear" w:color="auto" w:fill="FFFFFF"/>
        </w:rPr>
        <w:t>distance education.</w:t>
      </w:r>
      <w:r w:rsidRPr="00337F32">
        <w:rPr>
          <w:color w:val="222222"/>
          <w:shd w:val="clear" w:color="auto" w:fill="FFFFFF"/>
        </w:rPr>
        <w:t> </w:t>
      </w:r>
      <w:r w:rsidRPr="00337F32">
        <w:rPr>
          <w:i/>
          <w:iCs/>
          <w:color w:val="222222"/>
          <w:shd w:val="clear" w:color="auto" w:fill="FFFFFF"/>
        </w:rPr>
        <w:t>British Journal of Educational Technology</w:t>
      </w:r>
      <w:r w:rsidRPr="00337F32">
        <w:rPr>
          <w:color w:val="222222"/>
          <w:shd w:val="clear" w:color="auto" w:fill="FFFFFF"/>
        </w:rPr>
        <w:t>, </w:t>
      </w:r>
      <w:r w:rsidRPr="00337F32">
        <w:rPr>
          <w:i/>
          <w:iCs/>
          <w:color w:val="222222"/>
          <w:shd w:val="clear" w:color="auto" w:fill="FFFFFF"/>
        </w:rPr>
        <w:t>44</w:t>
      </w:r>
      <w:r w:rsidRPr="00337F32">
        <w:rPr>
          <w:color w:val="222222"/>
          <w:shd w:val="clear" w:color="auto" w:fill="FFFFFF"/>
        </w:rPr>
        <w:t>(2), 338-351.</w:t>
      </w:r>
    </w:p>
    <w:p w:rsidR="00337F32" w:rsidRPr="00337F32" w:rsidP="00337F32" w14:paraId="6A84D81F" w14:textId="5C02A174">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Kadushin</w:t>
      </w:r>
      <w:r w:rsidRPr="00337F32">
        <w:rPr>
          <w:color w:val="000000"/>
          <w:highlight w:val="white"/>
        </w:rPr>
        <w:t>, A., &amp; Harkness, D. (2014).</w:t>
      </w:r>
      <w:r w:rsidRPr="00337F32">
        <w:rPr>
          <w:color w:val="000000"/>
          <w:highlight w:val="white"/>
        </w:rPr>
        <w:t> </w:t>
      </w:r>
      <w:r w:rsidRPr="00337F32">
        <w:rPr>
          <w:i/>
          <w:color w:val="000000"/>
          <w:highlight w:val="white"/>
        </w:rPr>
        <w:t>Supervision in social work</w:t>
      </w:r>
      <w:r w:rsidRPr="00337F32">
        <w:rPr>
          <w:color w:val="000000"/>
          <w:highlight w:val="white"/>
        </w:rPr>
        <w:t>.</w:t>
      </w:r>
      <w:r w:rsidRPr="00337F32">
        <w:rPr>
          <w:color w:val="000000"/>
          <w:highlight w:val="white"/>
        </w:rPr>
        <w:t xml:space="preserve"> </w:t>
      </w:r>
      <w:r w:rsidRPr="00337F32">
        <w:rPr>
          <w:color w:val="000000"/>
          <w:highlight w:val="white"/>
        </w:rPr>
        <w:t>Columbia University Press.</w:t>
      </w:r>
    </w:p>
    <w:p w:rsidR="00337F32" w:rsidRPr="00337F32" w:rsidP="00337F32" w14:paraId="05641B38" w14:textId="41D1705A">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Kentnor</w:t>
      </w:r>
      <w:r w:rsidRPr="00337F32">
        <w:rPr>
          <w:color w:val="222222"/>
          <w:shd w:val="clear" w:color="auto" w:fill="FFFFFF"/>
        </w:rPr>
        <w:t xml:space="preserve">, H. E. (2015). Distance education and the evolution of online learning in the United </w:t>
      </w:r>
      <w:r>
        <w:rPr>
          <w:color w:val="222222"/>
          <w:shd w:val="clear" w:color="auto" w:fill="FFFFFF"/>
        </w:rPr>
        <w:tab/>
      </w:r>
      <w:r w:rsidRPr="00337F32">
        <w:rPr>
          <w:color w:val="222222"/>
          <w:shd w:val="clear" w:color="auto" w:fill="FFFFFF"/>
        </w:rPr>
        <w:t>States. </w:t>
      </w:r>
      <w:r w:rsidRPr="00337F32">
        <w:rPr>
          <w:i/>
          <w:iCs/>
          <w:color w:val="222222"/>
          <w:shd w:val="clear" w:color="auto" w:fill="FFFFFF"/>
        </w:rPr>
        <w:t>Curriculum and Teaching Dialogue</w:t>
      </w:r>
      <w:r w:rsidRPr="00337F32">
        <w:rPr>
          <w:color w:val="222222"/>
          <w:shd w:val="clear" w:color="auto" w:fill="FFFFFF"/>
        </w:rPr>
        <w:t>, </w:t>
      </w:r>
      <w:r w:rsidRPr="00337F32">
        <w:rPr>
          <w:i/>
          <w:iCs/>
          <w:color w:val="222222"/>
          <w:shd w:val="clear" w:color="auto" w:fill="FFFFFF"/>
        </w:rPr>
        <w:t>17</w:t>
      </w:r>
      <w:r w:rsidRPr="00337F32">
        <w:rPr>
          <w:color w:val="222222"/>
          <w:shd w:val="clear" w:color="auto" w:fill="FFFFFF"/>
        </w:rPr>
        <w:t>(1), 21-34.</w:t>
      </w:r>
    </w:p>
    <w:p w:rsidR="00337F32" w:rsidRPr="00337F32" w:rsidP="00337F32" w14:paraId="6C74F3C8" w14:textId="1AD011ED">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Knott, C., &amp; Scragg, T. (Eds.).</w:t>
      </w:r>
      <w:r w:rsidRPr="00337F32">
        <w:rPr>
          <w:color w:val="000000"/>
          <w:highlight w:val="white"/>
        </w:rPr>
        <w:t xml:space="preserve"> </w:t>
      </w:r>
      <w:r w:rsidRPr="00337F32">
        <w:rPr>
          <w:color w:val="000000"/>
          <w:highlight w:val="white"/>
        </w:rPr>
        <w:t>(2016). </w:t>
      </w:r>
      <w:r w:rsidRPr="00337F32">
        <w:rPr>
          <w:i/>
          <w:color w:val="000000"/>
          <w:highlight w:val="white"/>
        </w:rPr>
        <w:t>Reflective practice in social work</w:t>
      </w:r>
      <w:r w:rsidRPr="00337F32">
        <w:rPr>
          <w:color w:val="000000"/>
          <w:highlight w:val="white"/>
        </w:rPr>
        <w:t>.</w:t>
      </w:r>
      <w:r w:rsidRPr="00337F32">
        <w:rPr>
          <w:color w:val="000000"/>
          <w:highlight w:val="white"/>
        </w:rPr>
        <w:t xml:space="preserve"> </w:t>
      </w:r>
      <w:r w:rsidRPr="00337F32">
        <w:rPr>
          <w:color w:val="000000"/>
          <w:highlight w:val="white"/>
        </w:rPr>
        <w:t>Learning Matters.</w:t>
      </w:r>
    </w:p>
    <w:p w:rsidR="00337F32" w:rsidRPr="00337F32" w:rsidP="00337F32" w14:paraId="5DB92196" w14:textId="7F02B2D1">
      <w:pPr>
        <w:pBdr>
          <w:top w:val="nil"/>
          <w:left w:val="nil"/>
          <w:bottom w:val="nil"/>
          <w:right w:val="nil"/>
          <w:between w:val="nil"/>
        </w:pBdr>
        <w:shd w:val="clear" w:color="auto" w:fill="FFFFFF"/>
        <w:spacing w:line="480" w:lineRule="auto"/>
        <w:ind w:right="75" w:hanging="720"/>
        <w:rPr>
          <w:color w:val="000000"/>
        </w:rPr>
      </w:pPr>
      <w:r>
        <w:rPr>
          <w:color w:val="000000"/>
          <w:highlight w:val="white"/>
        </w:rPr>
        <w:tab/>
      </w:r>
      <w:r w:rsidRPr="00337F32">
        <w:rPr>
          <w:color w:val="000000"/>
          <w:highlight w:val="white"/>
        </w:rPr>
        <w:t>Kolb, D. A. (2014).</w:t>
      </w:r>
      <w:r w:rsidRPr="00337F32">
        <w:rPr>
          <w:color w:val="000000"/>
          <w:highlight w:val="white"/>
        </w:rPr>
        <w:t> </w:t>
      </w:r>
      <w:r w:rsidRPr="00337F32">
        <w:rPr>
          <w:i/>
          <w:color w:val="000000"/>
          <w:highlight w:val="white"/>
        </w:rPr>
        <w:t xml:space="preserve">Experiential learning: Experience as the source of learning and </w:t>
      </w:r>
      <w:r>
        <w:rPr>
          <w:i/>
          <w:color w:val="000000"/>
          <w:highlight w:val="white"/>
        </w:rPr>
        <w:tab/>
      </w:r>
      <w:r w:rsidRPr="00337F32">
        <w:rPr>
          <w:i/>
          <w:color w:val="000000"/>
          <w:highlight w:val="white"/>
        </w:rPr>
        <w:t>development</w:t>
      </w:r>
      <w:r w:rsidRPr="00337F32">
        <w:rPr>
          <w:color w:val="000000"/>
          <w:highlight w:val="white"/>
        </w:rPr>
        <w:t xml:space="preserve">. </w:t>
      </w:r>
      <w:r w:rsidRPr="00337F32">
        <w:rPr>
          <w:color w:val="000000"/>
          <w:highlight w:val="white"/>
        </w:rPr>
        <w:t>FT press.</w:t>
      </w:r>
    </w:p>
    <w:p w:rsidR="00337F32" w:rsidRPr="00337F32" w:rsidP="00337F32" w14:paraId="224A60EB" w14:textId="13EAA3A3">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 xml:space="preserve">Merriam, S. B. (2018). Adult learning theory: Evolution and future directions. </w:t>
      </w:r>
      <w:r w:rsidRPr="00337F32">
        <w:rPr>
          <w:color w:val="000000"/>
          <w:highlight w:val="white"/>
        </w:rPr>
        <w:t>In </w:t>
      </w:r>
      <w:r w:rsidRPr="00337F32">
        <w:rPr>
          <w:i/>
          <w:color w:val="000000"/>
          <w:highlight w:val="white"/>
        </w:rPr>
        <w:t xml:space="preserve">Contemporary </w:t>
      </w:r>
      <w:r>
        <w:rPr>
          <w:i/>
          <w:color w:val="000000"/>
          <w:highlight w:val="white"/>
        </w:rPr>
        <w:tab/>
      </w:r>
      <w:r w:rsidRPr="00337F32">
        <w:rPr>
          <w:i/>
          <w:color w:val="000000"/>
          <w:highlight w:val="white"/>
        </w:rPr>
        <w:t>Theories of Learning</w:t>
      </w:r>
      <w:r w:rsidRPr="00337F32">
        <w:rPr>
          <w:color w:val="000000"/>
          <w:highlight w:val="white"/>
        </w:rPr>
        <w:t> (pp. 83-96).</w:t>
      </w:r>
      <w:r w:rsidRPr="00337F32">
        <w:rPr>
          <w:color w:val="000000"/>
          <w:highlight w:val="white"/>
        </w:rPr>
        <w:t xml:space="preserve"> </w:t>
      </w:r>
      <w:r w:rsidRPr="00337F32">
        <w:rPr>
          <w:color w:val="000000"/>
          <w:highlight w:val="white"/>
        </w:rPr>
        <w:t>Routledge.</w:t>
      </w:r>
    </w:p>
    <w:p w:rsidR="00337F32" w:rsidRPr="00337F32" w:rsidP="00337F32" w14:paraId="1A74E0A7" w14:textId="2B94579E">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 xml:space="preserve">Moore, M. G. (Ed.). </w:t>
      </w:r>
      <w:r w:rsidRPr="00337F32">
        <w:rPr>
          <w:color w:val="222222"/>
          <w:shd w:val="clear" w:color="auto" w:fill="FFFFFF"/>
        </w:rPr>
        <w:t>(2013). </w:t>
      </w:r>
      <w:r w:rsidRPr="00337F32">
        <w:rPr>
          <w:i/>
          <w:iCs/>
          <w:color w:val="222222"/>
          <w:shd w:val="clear" w:color="auto" w:fill="FFFFFF"/>
        </w:rPr>
        <w:t>Handbook of distance education</w:t>
      </w:r>
      <w:r w:rsidRPr="00337F32">
        <w:rPr>
          <w:color w:val="222222"/>
          <w:shd w:val="clear" w:color="auto" w:fill="FFFFFF"/>
        </w:rPr>
        <w:t>.</w:t>
      </w:r>
      <w:r w:rsidRPr="00337F32">
        <w:rPr>
          <w:color w:val="222222"/>
          <w:shd w:val="clear" w:color="auto" w:fill="FFFFFF"/>
        </w:rPr>
        <w:t xml:space="preserve"> </w:t>
      </w:r>
      <w:r w:rsidRPr="00337F32">
        <w:rPr>
          <w:color w:val="222222"/>
          <w:shd w:val="clear" w:color="auto" w:fill="FFFFFF"/>
        </w:rPr>
        <w:t>Routledge.</w:t>
      </w:r>
    </w:p>
    <w:p w:rsidR="00337F32" w:rsidRPr="00337F32" w:rsidP="00337F32" w14:paraId="10DB32E0" w14:textId="05D3A9F6">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 xml:space="preserve">Moore, R. L. (2014). </w:t>
      </w:r>
      <w:r w:rsidRPr="00337F32">
        <w:rPr>
          <w:color w:val="222222"/>
          <w:shd w:val="clear" w:color="auto" w:fill="FFFFFF"/>
        </w:rPr>
        <w:t xml:space="preserve">Importance of developing community in distance education </w:t>
      </w:r>
      <w:r>
        <w:rPr>
          <w:color w:val="222222"/>
          <w:shd w:val="clear" w:color="auto" w:fill="FFFFFF"/>
        </w:rPr>
        <w:tab/>
      </w:r>
      <w:r w:rsidRPr="00337F32">
        <w:rPr>
          <w:color w:val="222222"/>
          <w:shd w:val="clear" w:color="auto" w:fill="FFFFFF"/>
        </w:rPr>
        <w:t>courses.</w:t>
      </w:r>
      <w:r w:rsidRPr="00337F32">
        <w:rPr>
          <w:color w:val="222222"/>
          <w:shd w:val="clear" w:color="auto" w:fill="FFFFFF"/>
        </w:rPr>
        <w:t> </w:t>
      </w:r>
      <w:r w:rsidRPr="00337F32">
        <w:rPr>
          <w:i/>
          <w:iCs/>
          <w:color w:val="222222"/>
          <w:shd w:val="clear" w:color="auto" w:fill="FFFFFF"/>
        </w:rPr>
        <w:t>TechTrends</w:t>
      </w:r>
      <w:r w:rsidRPr="00337F32">
        <w:rPr>
          <w:color w:val="222222"/>
          <w:shd w:val="clear" w:color="auto" w:fill="FFFFFF"/>
        </w:rPr>
        <w:t>, </w:t>
      </w:r>
      <w:r w:rsidRPr="00337F32">
        <w:rPr>
          <w:i/>
          <w:iCs/>
          <w:color w:val="222222"/>
          <w:shd w:val="clear" w:color="auto" w:fill="FFFFFF"/>
        </w:rPr>
        <w:t>58</w:t>
      </w:r>
      <w:r w:rsidRPr="00337F32">
        <w:rPr>
          <w:color w:val="222222"/>
          <w:shd w:val="clear" w:color="auto" w:fill="FFFFFF"/>
        </w:rPr>
        <w:t>(2), 20-24.</w:t>
      </w:r>
    </w:p>
    <w:p w:rsidR="00337F32" w:rsidRPr="00337F32" w:rsidP="00337F32" w14:paraId="443B6470" w14:textId="68FEDCF6">
      <w:pPr>
        <w:pBdr>
          <w:top w:val="nil"/>
          <w:left w:val="nil"/>
          <w:bottom w:val="nil"/>
          <w:right w:val="nil"/>
          <w:between w:val="nil"/>
        </w:pBdr>
        <w:spacing w:line="480" w:lineRule="auto"/>
        <w:ind w:hanging="720"/>
        <w:rPr>
          <w:color w:val="000000"/>
        </w:rPr>
      </w:pPr>
      <w:r>
        <w:tab/>
      </w:r>
      <w:r w:rsidRPr="00337F32">
        <w:t xml:space="preserve">Moore, S., E., Golder, S., </w:t>
      </w:r>
      <w:r w:rsidRPr="00337F32">
        <w:t>Sterrett</w:t>
      </w:r>
      <w:r w:rsidRPr="00337F32">
        <w:t xml:space="preserve">, E., </w:t>
      </w:r>
      <w:r w:rsidRPr="00337F32">
        <w:t>Faul</w:t>
      </w:r>
      <w:r w:rsidRPr="00337F32">
        <w:t xml:space="preserve">, A., C., Pam Y., Lynetta W., M., &amp; Barbee A., P. </w:t>
      </w:r>
      <w:r>
        <w:tab/>
      </w:r>
      <w:r w:rsidRPr="00337F32">
        <w:t xml:space="preserve">(2015). Social Work Online Education: A Model for Getting Started and Staying </w:t>
      </w:r>
      <w:r>
        <w:tab/>
      </w:r>
      <w:r w:rsidRPr="00337F32">
        <w:t>Connected 4(7)1-15.</w:t>
      </w:r>
    </w:p>
    <w:p w:rsidR="00337F32" w:rsidRPr="00337F32" w:rsidP="00337F32" w14:paraId="3588E4D8" w14:textId="1A9B5101">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Murphy, E., &amp; Rodríguez-Manzanares, M. A. (2012).</w:t>
      </w:r>
      <w:r w:rsidRPr="00337F32">
        <w:rPr>
          <w:color w:val="222222"/>
          <w:shd w:val="clear" w:color="auto" w:fill="FFFFFF"/>
        </w:rPr>
        <w:t xml:space="preserve"> </w:t>
      </w:r>
      <w:r w:rsidRPr="00337F32">
        <w:rPr>
          <w:color w:val="222222"/>
          <w:shd w:val="clear" w:color="auto" w:fill="FFFFFF"/>
        </w:rPr>
        <w:t>Rapport in distance education.</w:t>
      </w:r>
      <w:r w:rsidRPr="00337F32">
        <w:rPr>
          <w:color w:val="222222"/>
          <w:shd w:val="clear" w:color="auto" w:fill="FFFFFF"/>
        </w:rPr>
        <w:t> </w:t>
      </w:r>
      <w:r w:rsidRPr="00337F32">
        <w:rPr>
          <w:i/>
          <w:iCs/>
          <w:color w:val="222222"/>
          <w:shd w:val="clear" w:color="auto" w:fill="FFFFFF"/>
        </w:rPr>
        <w:t xml:space="preserve">The </w:t>
      </w:r>
      <w:r>
        <w:rPr>
          <w:i/>
          <w:iCs/>
          <w:color w:val="222222"/>
          <w:shd w:val="clear" w:color="auto" w:fill="FFFFFF"/>
        </w:rPr>
        <w:tab/>
      </w:r>
      <w:r w:rsidRPr="00337F32">
        <w:rPr>
          <w:i/>
          <w:iCs/>
          <w:color w:val="222222"/>
          <w:shd w:val="clear" w:color="auto" w:fill="FFFFFF"/>
        </w:rPr>
        <w:t>International Review of Research in Open and Distributed Learning</w:t>
      </w:r>
      <w:r w:rsidRPr="00337F32">
        <w:rPr>
          <w:color w:val="222222"/>
          <w:shd w:val="clear" w:color="auto" w:fill="FFFFFF"/>
        </w:rPr>
        <w:t>, </w:t>
      </w:r>
      <w:r w:rsidRPr="00337F32">
        <w:rPr>
          <w:i/>
          <w:iCs/>
          <w:color w:val="222222"/>
          <w:shd w:val="clear" w:color="auto" w:fill="FFFFFF"/>
        </w:rPr>
        <w:t>13</w:t>
      </w:r>
      <w:r w:rsidRPr="00337F32">
        <w:rPr>
          <w:color w:val="222222"/>
          <w:shd w:val="clear" w:color="auto" w:fill="FFFFFF"/>
        </w:rPr>
        <w:t>(1), 167-190.</w:t>
      </w:r>
    </w:p>
    <w:p w:rsidR="00337F32" w:rsidRPr="00337F32" w:rsidP="00337F32" w14:paraId="5FC0093C" w14:textId="7C9CEC6D">
      <w:pPr>
        <w:pBdr>
          <w:top w:val="nil"/>
          <w:left w:val="nil"/>
          <w:bottom w:val="nil"/>
          <w:right w:val="nil"/>
          <w:between w:val="nil"/>
        </w:pBdr>
        <w:spacing w:after="160" w:line="480" w:lineRule="auto"/>
        <w:ind w:hanging="720"/>
        <w:rPr>
          <w:color w:val="0563C1"/>
          <w:u w:val="single"/>
        </w:rPr>
      </w:pPr>
      <w:r>
        <w:rPr>
          <w:color w:val="000000"/>
        </w:rPr>
        <w:tab/>
      </w:r>
      <w:r w:rsidRPr="00337F32">
        <w:rPr>
          <w:color w:val="000000"/>
        </w:rPr>
        <w:t>Online Learning Consortium.</w:t>
      </w:r>
      <w:r w:rsidRPr="00337F32">
        <w:rPr>
          <w:color w:val="000000"/>
        </w:rPr>
        <w:t xml:space="preserve"> (2017). </w:t>
      </w:r>
      <w:r w:rsidRPr="00337F32">
        <w:rPr>
          <w:i/>
          <w:color w:val="000000"/>
        </w:rPr>
        <w:t xml:space="preserve">New Study: Over Six Million Students Now Enrolled in </w:t>
      </w:r>
      <w:r>
        <w:rPr>
          <w:i/>
          <w:color w:val="000000"/>
        </w:rPr>
        <w:tab/>
      </w:r>
      <w:r w:rsidRPr="00337F32">
        <w:rPr>
          <w:i/>
          <w:color w:val="000000"/>
        </w:rPr>
        <w:t xml:space="preserve">Distance Education </w:t>
      </w:r>
      <w:hyperlink r:id="rId9" w:history="1">
        <w:r w:rsidRPr="00337F32">
          <w:rPr>
            <w:color w:val="000000"/>
          </w:rPr>
          <w:t>https://onlinelearningconsortium.org/news_item/new-study-six-</w:t>
        </w:r>
        <w:r>
          <w:rPr>
            <w:color w:val="000000"/>
          </w:rPr>
          <w:tab/>
        </w:r>
        <w:r w:rsidRPr="00337F32">
          <w:rPr>
            <w:color w:val="000000"/>
          </w:rPr>
          <w:t>million-students-now-enrolled-distance-education/</w:t>
        </w:r>
      </w:hyperlink>
    </w:p>
    <w:p w:rsidR="00337F32" w:rsidRPr="00337F32" w:rsidP="00337F32" w14:paraId="652F29AC" w14:textId="4702F517">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Ozuah</w:t>
      </w:r>
      <w:r w:rsidRPr="00337F32">
        <w:rPr>
          <w:color w:val="000000"/>
          <w:highlight w:val="white"/>
        </w:rPr>
        <w:t>, P. O. (2016). First, there was pedagogy and then came andragogy. </w:t>
      </w:r>
      <w:r w:rsidRPr="00337F32">
        <w:rPr>
          <w:i/>
          <w:color w:val="000000"/>
          <w:highlight w:val="white"/>
        </w:rPr>
        <w:t xml:space="preserve">Einstein journal of </w:t>
      </w:r>
      <w:r>
        <w:rPr>
          <w:i/>
          <w:color w:val="000000"/>
          <w:highlight w:val="white"/>
        </w:rPr>
        <w:tab/>
      </w:r>
      <w:r w:rsidRPr="00337F32">
        <w:rPr>
          <w:i/>
          <w:color w:val="000000"/>
          <w:highlight w:val="white"/>
        </w:rPr>
        <w:t>Biology and Medicine</w:t>
      </w:r>
      <w:r w:rsidRPr="00337F32">
        <w:rPr>
          <w:color w:val="000000"/>
          <w:highlight w:val="white"/>
        </w:rPr>
        <w:t>, </w:t>
      </w:r>
      <w:r w:rsidRPr="00337F32">
        <w:rPr>
          <w:i/>
          <w:color w:val="000000"/>
          <w:highlight w:val="white"/>
        </w:rPr>
        <w:t>21</w:t>
      </w:r>
      <w:r w:rsidRPr="00337F32">
        <w:rPr>
          <w:color w:val="000000"/>
          <w:highlight w:val="white"/>
        </w:rPr>
        <w:t>(2), 83-87.</w:t>
      </w:r>
    </w:p>
    <w:p w:rsidR="00337F32" w:rsidRPr="00337F32" w:rsidP="00337F32" w14:paraId="5D5E9462" w14:textId="16A38707">
      <w:pPr>
        <w:spacing w:line="480" w:lineRule="auto"/>
        <w:ind w:hanging="720"/>
      </w:pPr>
      <w:r>
        <w:rPr>
          <w:color w:val="222222"/>
          <w:shd w:val="clear" w:color="auto" w:fill="FFFFFF"/>
        </w:rPr>
        <w:tab/>
      </w:r>
      <w:r w:rsidRPr="00337F32">
        <w:rPr>
          <w:color w:val="222222"/>
          <w:shd w:val="clear" w:color="auto" w:fill="FFFFFF"/>
        </w:rPr>
        <w:t>Power, R. L. (2013).</w:t>
      </w:r>
      <w:r w:rsidRPr="00337F32">
        <w:rPr>
          <w:color w:val="222222"/>
          <w:shd w:val="clear" w:color="auto" w:fill="FFFFFF"/>
        </w:rPr>
        <w:t xml:space="preserve"> </w:t>
      </w:r>
      <w:r w:rsidRPr="00337F32">
        <w:rPr>
          <w:color w:val="222222"/>
          <w:shd w:val="clear" w:color="auto" w:fill="FFFFFF"/>
        </w:rPr>
        <w:t>Leader-member exchange theory in higher and distance education.</w:t>
      </w:r>
      <w:r w:rsidRPr="00337F32">
        <w:rPr>
          <w:color w:val="222222"/>
          <w:shd w:val="clear" w:color="auto" w:fill="FFFFFF"/>
        </w:rPr>
        <w:t> </w:t>
      </w:r>
      <w:r w:rsidRPr="00337F32">
        <w:rPr>
          <w:i/>
          <w:iCs/>
          <w:color w:val="222222"/>
          <w:shd w:val="clear" w:color="auto" w:fill="FFFFFF"/>
        </w:rPr>
        <w:t xml:space="preserve">The </w:t>
      </w:r>
      <w:r>
        <w:rPr>
          <w:i/>
          <w:iCs/>
          <w:color w:val="222222"/>
          <w:shd w:val="clear" w:color="auto" w:fill="FFFFFF"/>
        </w:rPr>
        <w:tab/>
      </w:r>
      <w:r w:rsidRPr="00337F32">
        <w:rPr>
          <w:i/>
          <w:iCs/>
          <w:color w:val="222222"/>
          <w:shd w:val="clear" w:color="auto" w:fill="FFFFFF"/>
        </w:rPr>
        <w:t>International Review of Research in Open and Distributed Learning</w:t>
      </w:r>
      <w:r w:rsidRPr="00337F32">
        <w:rPr>
          <w:color w:val="222222"/>
          <w:shd w:val="clear" w:color="auto" w:fill="FFFFFF"/>
        </w:rPr>
        <w:t>, </w:t>
      </w:r>
      <w:r w:rsidRPr="00337F32">
        <w:rPr>
          <w:i/>
          <w:iCs/>
          <w:color w:val="222222"/>
          <w:shd w:val="clear" w:color="auto" w:fill="FFFFFF"/>
        </w:rPr>
        <w:t>14</w:t>
      </w:r>
      <w:r w:rsidRPr="00337F32">
        <w:rPr>
          <w:color w:val="222222"/>
          <w:shd w:val="clear" w:color="auto" w:fill="FFFFFF"/>
        </w:rPr>
        <w:t>(4).</w:t>
      </w:r>
    </w:p>
    <w:p w:rsidR="00337F32" w:rsidRPr="00337F32" w:rsidP="00337F32" w14:paraId="106F58D5" w14:textId="3665306B">
      <w:pPr>
        <w:pBdr>
          <w:top w:val="nil"/>
          <w:left w:val="nil"/>
          <w:bottom w:val="nil"/>
          <w:right w:val="nil"/>
          <w:between w:val="nil"/>
        </w:pBdr>
        <w:spacing w:after="160" w:line="480" w:lineRule="auto"/>
        <w:ind w:hanging="720"/>
        <w:rPr>
          <w:color w:val="000000"/>
        </w:rPr>
      </w:pPr>
      <w:r>
        <w:rPr>
          <w:color w:val="000000"/>
          <w:highlight w:val="white"/>
        </w:rPr>
        <w:tab/>
      </w:r>
      <w:r w:rsidRPr="00337F32">
        <w:rPr>
          <w:color w:val="000000"/>
          <w:highlight w:val="white"/>
        </w:rPr>
        <w:t>Pyles</w:t>
      </w:r>
      <w:r w:rsidRPr="00337F32">
        <w:rPr>
          <w:color w:val="000000"/>
          <w:highlight w:val="white"/>
        </w:rPr>
        <w:t>, L., &amp; Adam, G. J. (2015).</w:t>
      </w:r>
      <w:r w:rsidRPr="00337F32">
        <w:rPr>
          <w:color w:val="000000"/>
          <w:highlight w:val="white"/>
        </w:rPr>
        <w:t xml:space="preserve"> </w:t>
      </w:r>
      <w:r w:rsidRPr="00337F32">
        <w:rPr>
          <w:color w:val="000000"/>
          <w:highlight w:val="white"/>
        </w:rPr>
        <w:t>Educating Transformative Social Workers.</w:t>
      </w:r>
      <w:r w:rsidRPr="00337F32">
        <w:rPr>
          <w:color w:val="000000"/>
          <w:highlight w:val="white"/>
        </w:rPr>
        <w:t> </w:t>
      </w:r>
      <w:r w:rsidRPr="00337F32">
        <w:rPr>
          <w:i/>
          <w:color w:val="000000"/>
          <w:highlight w:val="white"/>
        </w:rPr>
        <w:t xml:space="preserve">Holistic </w:t>
      </w:r>
      <w:r>
        <w:rPr>
          <w:i/>
          <w:color w:val="000000"/>
          <w:highlight w:val="white"/>
        </w:rPr>
        <w:tab/>
      </w:r>
      <w:r w:rsidRPr="00337F32">
        <w:rPr>
          <w:i/>
          <w:color w:val="000000"/>
          <w:highlight w:val="white"/>
        </w:rPr>
        <w:t>Engagement: Transformative Social Work Education in the 21st Century</w:t>
      </w:r>
      <w:r w:rsidRPr="00337F32">
        <w:rPr>
          <w:color w:val="000000"/>
          <w:highlight w:val="white"/>
        </w:rPr>
        <w:t>.</w:t>
      </w:r>
    </w:p>
    <w:p w:rsidR="00337F32" w:rsidRPr="00337F32" w:rsidP="00337F32" w14:paraId="1AAFA611" w14:textId="7448B44A">
      <w:pPr>
        <w:pBdr>
          <w:top w:val="nil"/>
          <w:left w:val="nil"/>
          <w:bottom w:val="nil"/>
          <w:right w:val="nil"/>
          <w:between w:val="nil"/>
        </w:pBdr>
        <w:spacing w:line="480" w:lineRule="auto"/>
        <w:ind w:hanging="720"/>
        <w:rPr>
          <w:color w:val="000000"/>
        </w:rPr>
      </w:pPr>
      <w:r>
        <w:tab/>
      </w:r>
      <w:r w:rsidRPr="00337F32">
        <w:t xml:space="preserve">Robert V., </w:t>
      </w:r>
      <w:r w:rsidRPr="00337F32">
        <w:t>Halaevalu</w:t>
      </w:r>
      <w:r w:rsidRPr="00337F32">
        <w:t xml:space="preserve"> V., Dean P., Pittman-</w:t>
      </w:r>
      <w:r w:rsidRPr="00337F32">
        <w:t>Munke</w:t>
      </w:r>
      <w:r w:rsidRPr="00337F32">
        <w:t xml:space="preserve"> P., &amp; Adkins L., F. (2019). DISTANCE </w:t>
      </w:r>
      <w:r>
        <w:tab/>
      </w:r>
      <w:r w:rsidRPr="00337F32">
        <w:t xml:space="preserve">EDUCATION PROGRAMS IN SOCIAL WORK: CURRENT AND EMERGING </w:t>
      </w:r>
      <w:r>
        <w:tab/>
      </w:r>
      <w:r w:rsidRPr="00337F32">
        <w:t>TRENDS 3(7)1-15</w:t>
      </w:r>
    </w:p>
    <w:p w:rsidR="00337F32" w:rsidRPr="00337F32" w:rsidP="00337F32" w14:paraId="5F82A6FA" w14:textId="24396582">
      <w:pPr>
        <w:pBdr>
          <w:top w:val="nil"/>
          <w:left w:val="nil"/>
          <w:bottom w:val="nil"/>
          <w:right w:val="nil"/>
          <w:between w:val="nil"/>
        </w:pBdr>
        <w:spacing w:after="160" w:line="480" w:lineRule="auto"/>
        <w:ind w:hanging="720"/>
        <w:rPr>
          <w:color w:val="000000"/>
          <w:highlight w:val="white"/>
        </w:rPr>
      </w:pPr>
      <w:r>
        <w:rPr>
          <w:color w:val="000000"/>
        </w:rPr>
        <w:tab/>
      </w:r>
      <w:r w:rsidRPr="00337F32">
        <w:rPr>
          <w:color w:val="000000"/>
        </w:rPr>
        <w:t>Rosenthal, J. A. (2012). </w:t>
      </w:r>
      <w:r w:rsidRPr="00337F32">
        <w:rPr>
          <w:i/>
          <w:color w:val="000000"/>
        </w:rPr>
        <w:t>Statistics and data interpretation for social work</w:t>
      </w:r>
      <w:r w:rsidRPr="00337F32">
        <w:rPr>
          <w:color w:val="000000"/>
        </w:rPr>
        <w:t>.</w:t>
      </w:r>
    </w:p>
    <w:p w:rsidR="00337F32" w:rsidRPr="00337F32" w:rsidP="00337F32" w14:paraId="324CA5A1" w14:textId="6B0B2E81">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Rubin, A., &amp; Babbie, E. R. (2016).</w:t>
      </w:r>
      <w:r w:rsidRPr="00337F32">
        <w:rPr>
          <w:color w:val="000000"/>
          <w:highlight w:val="white"/>
        </w:rPr>
        <w:t> </w:t>
      </w:r>
      <w:r w:rsidRPr="00337F32">
        <w:rPr>
          <w:i/>
          <w:color w:val="000000"/>
          <w:highlight w:val="white"/>
        </w:rPr>
        <w:t>Empowerment series: Research methods for social work</w:t>
      </w:r>
      <w:r w:rsidRPr="00337F32">
        <w:rPr>
          <w:color w:val="000000"/>
          <w:highlight w:val="white"/>
        </w:rPr>
        <w:t xml:space="preserve">. </w:t>
      </w:r>
      <w:r>
        <w:rPr>
          <w:color w:val="000000"/>
          <w:highlight w:val="white"/>
        </w:rPr>
        <w:tab/>
      </w:r>
      <w:r w:rsidRPr="00337F32">
        <w:rPr>
          <w:color w:val="000000"/>
          <w:highlight w:val="white"/>
        </w:rPr>
        <w:t>Cengage</w:t>
      </w:r>
      <w:r w:rsidRPr="00337F32">
        <w:rPr>
          <w:color w:val="000000"/>
          <w:highlight w:val="white"/>
        </w:rPr>
        <w:t xml:space="preserve"> Learning.</w:t>
      </w:r>
    </w:p>
    <w:p w:rsidR="00337F32" w:rsidRPr="00337F32" w:rsidP="00337F32" w14:paraId="417ADF0A" w14:textId="5FE1ABAA">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Seaman, J. E., Allen, I. E., &amp; Seaman, J. (2018).</w:t>
      </w:r>
      <w:r w:rsidRPr="00337F32">
        <w:rPr>
          <w:color w:val="222222"/>
          <w:shd w:val="clear" w:color="auto" w:fill="FFFFFF"/>
        </w:rPr>
        <w:t xml:space="preserve"> Grade Increase: Tracking Distance Education in </w:t>
      </w:r>
      <w:r>
        <w:rPr>
          <w:color w:val="222222"/>
          <w:shd w:val="clear" w:color="auto" w:fill="FFFFFF"/>
        </w:rPr>
        <w:tab/>
      </w:r>
      <w:r w:rsidRPr="00337F32">
        <w:rPr>
          <w:color w:val="222222"/>
          <w:shd w:val="clear" w:color="auto" w:fill="FFFFFF"/>
        </w:rPr>
        <w:t>the United States. </w:t>
      </w:r>
      <w:r w:rsidRPr="00337F32">
        <w:rPr>
          <w:i/>
          <w:iCs/>
          <w:color w:val="222222"/>
          <w:shd w:val="clear" w:color="auto" w:fill="FFFFFF"/>
        </w:rPr>
        <w:t>Babson Survey Research Group</w:t>
      </w:r>
      <w:r w:rsidRPr="00337F32">
        <w:rPr>
          <w:color w:val="222222"/>
          <w:shd w:val="clear" w:color="auto" w:fill="FFFFFF"/>
        </w:rPr>
        <w:t>.</w:t>
      </w:r>
    </w:p>
    <w:p w:rsidR="00337F32" w:rsidRPr="00337F32" w:rsidP="00337F32" w14:paraId="21CB5C66" w14:textId="23346DB6">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 xml:space="preserve">Simonson, M., </w:t>
      </w:r>
      <w:r w:rsidRPr="00337F32">
        <w:rPr>
          <w:color w:val="222222"/>
          <w:shd w:val="clear" w:color="auto" w:fill="FFFFFF"/>
        </w:rPr>
        <w:t>Smaldino</w:t>
      </w:r>
      <w:r w:rsidRPr="00337F32">
        <w:rPr>
          <w:color w:val="222222"/>
          <w:shd w:val="clear" w:color="auto" w:fill="FFFFFF"/>
        </w:rPr>
        <w:t xml:space="preserve">, S., &amp; </w:t>
      </w:r>
      <w:r w:rsidRPr="00337F32">
        <w:rPr>
          <w:color w:val="222222"/>
          <w:shd w:val="clear" w:color="auto" w:fill="FFFFFF"/>
        </w:rPr>
        <w:t>Zvacek</w:t>
      </w:r>
      <w:r w:rsidRPr="00337F32">
        <w:rPr>
          <w:color w:val="222222"/>
          <w:shd w:val="clear" w:color="auto" w:fill="FFFFFF"/>
        </w:rPr>
        <w:t>, S. M. (Eds.).</w:t>
      </w:r>
      <w:r w:rsidRPr="00337F32">
        <w:rPr>
          <w:color w:val="222222"/>
          <w:shd w:val="clear" w:color="auto" w:fill="FFFFFF"/>
        </w:rPr>
        <w:t xml:space="preserve"> (2014). </w:t>
      </w:r>
      <w:r w:rsidRPr="00337F32">
        <w:rPr>
          <w:i/>
          <w:iCs/>
          <w:color w:val="222222"/>
          <w:shd w:val="clear" w:color="auto" w:fill="FFFFFF"/>
        </w:rPr>
        <w:t xml:space="preserve">Teaching and learning at a </w:t>
      </w:r>
      <w:r>
        <w:rPr>
          <w:i/>
          <w:iCs/>
          <w:color w:val="222222"/>
          <w:shd w:val="clear" w:color="auto" w:fill="FFFFFF"/>
        </w:rPr>
        <w:tab/>
      </w:r>
      <w:r w:rsidRPr="00337F32">
        <w:rPr>
          <w:i/>
          <w:iCs/>
          <w:color w:val="222222"/>
          <w:shd w:val="clear" w:color="auto" w:fill="FFFFFF"/>
        </w:rPr>
        <w:t>distance: Foundations of distance education</w:t>
      </w:r>
      <w:r w:rsidRPr="00337F32">
        <w:rPr>
          <w:color w:val="222222"/>
          <w:shd w:val="clear" w:color="auto" w:fill="FFFFFF"/>
        </w:rPr>
        <w:t xml:space="preserve">. </w:t>
      </w:r>
      <w:r w:rsidRPr="00337F32">
        <w:rPr>
          <w:color w:val="222222"/>
          <w:shd w:val="clear" w:color="auto" w:fill="FFFFFF"/>
        </w:rPr>
        <w:t>IAP.</w:t>
      </w:r>
    </w:p>
    <w:p w:rsidR="00337F32" w:rsidRPr="00337F32" w:rsidP="00337F32" w14:paraId="11A47FC3" w14:textId="13E29BA7">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Simpson, M., &amp; Anderson, B. (2012).</w:t>
      </w:r>
      <w:r w:rsidRPr="00337F32">
        <w:rPr>
          <w:color w:val="222222"/>
          <w:shd w:val="clear" w:color="auto" w:fill="FFFFFF"/>
        </w:rPr>
        <w:t xml:space="preserve"> </w:t>
      </w:r>
      <w:r w:rsidRPr="00337F32">
        <w:rPr>
          <w:color w:val="222222"/>
          <w:shd w:val="clear" w:color="auto" w:fill="FFFFFF"/>
        </w:rPr>
        <w:t xml:space="preserve">History and heritage in open, flexible and distance </w:t>
      </w:r>
      <w:r>
        <w:rPr>
          <w:color w:val="222222"/>
          <w:shd w:val="clear" w:color="auto" w:fill="FFFFFF"/>
        </w:rPr>
        <w:tab/>
      </w:r>
      <w:r w:rsidRPr="00337F32">
        <w:rPr>
          <w:color w:val="222222"/>
          <w:shd w:val="clear" w:color="auto" w:fill="FFFFFF"/>
        </w:rPr>
        <w:t>education.</w:t>
      </w:r>
      <w:r w:rsidRPr="00337F32">
        <w:rPr>
          <w:color w:val="222222"/>
          <w:shd w:val="clear" w:color="auto" w:fill="FFFFFF"/>
        </w:rPr>
        <w:t> </w:t>
      </w:r>
      <w:r w:rsidRPr="00337F32">
        <w:rPr>
          <w:i/>
          <w:iCs/>
          <w:color w:val="222222"/>
          <w:shd w:val="clear" w:color="auto" w:fill="FFFFFF"/>
        </w:rPr>
        <w:t>Journal of Open, Flexible, and Distance Learning</w:t>
      </w:r>
      <w:r w:rsidRPr="00337F32">
        <w:rPr>
          <w:color w:val="222222"/>
          <w:shd w:val="clear" w:color="auto" w:fill="FFFFFF"/>
        </w:rPr>
        <w:t>, </w:t>
      </w:r>
      <w:r w:rsidRPr="00337F32">
        <w:rPr>
          <w:i/>
          <w:iCs/>
          <w:color w:val="222222"/>
          <w:shd w:val="clear" w:color="auto" w:fill="FFFFFF"/>
        </w:rPr>
        <w:t>16</w:t>
      </w:r>
      <w:r w:rsidRPr="00337F32">
        <w:rPr>
          <w:color w:val="222222"/>
          <w:shd w:val="clear" w:color="auto" w:fill="FFFFFF"/>
        </w:rPr>
        <w:t>(2), 1-10.</w:t>
      </w:r>
    </w:p>
    <w:p w:rsidR="00337F32" w:rsidRPr="00337F32" w:rsidP="00337F32" w14:paraId="6EC612FC" w14:textId="41274175">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Sun, J. C. Y., &amp; Rueda, R. (2012).</w:t>
      </w:r>
      <w:r w:rsidRPr="00337F32">
        <w:rPr>
          <w:color w:val="222222"/>
          <w:shd w:val="clear" w:color="auto" w:fill="FFFFFF"/>
        </w:rPr>
        <w:t xml:space="preserve"> Situational interest, computer self‐efficacy and self‐</w:t>
      </w:r>
      <w:r>
        <w:rPr>
          <w:color w:val="222222"/>
          <w:shd w:val="clear" w:color="auto" w:fill="FFFFFF"/>
        </w:rPr>
        <w:tab/>
      </w:r>
      <w:r w:rsidRPr="00337F32">
        <w:rPr>
          <w:color w:val="222222"/>
          <w:shd w:val="clear" w:color="auto" w:fill="FFFFFF"/>
        </w:rPr>
        <w:t>regulation: Their impact on student engagement in distance education. </w:t>
      </w:r>
      <w:r w:rsidRPr="00337F32">
        <w:rPr>
          <w:i/>
          <w:iCs/>
          <w:color w:val="222222"/>
          <w:shd w:val="clear" w:color="auto" w:fill="FFFFFF"/>
        </w:rPr>
        <w:t xml:space="preserve">British Journal of </w:t>
      </w:r>
      <w:r>
        <w:rPr>
          <w:i/>
          <w:iCs/>
          <w:color w:val="222222"/>
          <w:shd w:val="clear" w:color="auto" w:fill="FFFFFF"/>
        </w:rPr>
        <w:tab/>
      </w:r>
      <w:r w:rsidRPr="00337F32">
        <w:rPr>
          <w:i/>
          <w:iCs/>
          <w:color w:val="222222"/>
          <w:shd w:val="clear" w:color="auto" w:fill="FFFFFF"/>
        </w:rPr>
        <w:t>Educational Technology</w:t>
      </w:r>
      <w:r w:rsidRPr="00337F32">
        <w:rPr>
          <w:color w:val="222222"/>
          <w:shd w:val="clear" w:color="auto" w:fill="FFFFFF"/>
        </w:rPr>
        <w:t>, </w:t>
      </w:r>
      <w:r w:rsidRPr="00337F32">
        <w:rPr>
          <w:i/>
          <w:iCs/>
          <w:color w:val="222222"/>
          <w:shd w:val="clear" w:color="auto" w:fill="FFFFFF"/>
        </w:rPr>
        <w:t>43</w:t>
      </w:r>
      <w:r w:rsidRPr="00337F32">
        <w:rPr>
          <w:color w:val="222222"/>
          <w:shd w:val="clear" w:color="auto" w:fill="FFFFFF"/>
        </w:rPr>
        <w:t>(2), 191-204.</w:t>
      </w:r>
    </w:p>
    <w:p w:rsidR="00337F32" w:rsidRPr="00337F32" w:rsidP="00337F32" w14:paraId="3FD341C3" w14:textId="3E9BEF92">
      <w:pPr>
        <w:pBdr>
          <w:top w:val="nil"/>
          <w:left w:val="nil"/>
          <w:bottom w:val="nil"/>
          <w:right w:val="nil"/>
          <w:between w:val="nil"/>
        </w:pBdr>
        <w:spacing w:line="480" w:lineRule="auto"/>
        <w:ind w:hanging="720"/>
        <w:rPr>
          <w:color w:val="000000"/>
          <w:highlight w:val="white"/>
        </w:rPr>
      </w:pPr>
      <w:r>
        <w:rPr>
          <w:color w:val="000000"/>
          <w:highlight w:val="white"/>
        </w:rPr>
        <w:tab/>
      </w:r>
      <w:r w:rsidRPr="00337F32">
        <w:rPr>
          <w:color w:val="000000"/>
          <w:highlight w:val="white"/>
        </w:rPr>
        <w:t>Tham</w:t>
      </w:r>
      <w:r w:rsidRPr="00337F32">
        <w:rPr>
          <w:color w:val="000000"/>
          <w:highlight w:val="white"/>
        </w:rPr>
        <w:t>, P., &amp; Lynch, D. (2014).</w:t>
      </w:r>
      <w:r w:rsidRPr="00337F32">
        <w:rPr>
          <w:color w:val="000000"/>
          <w:highlight w:val="white"/>
        </w:rPr>
        <w:t xml:space="preserve"> Prepared for practice? </w:t>
      </w:r>
      <w:r w:rsidRPr="00337F32">
        <w:rPr>
          <w:color w:val="000000"/>
          <w:highlight w:val="white"/>
        </w:rPr>
        <w:t xml:space="preserve">Graduating social work students' </w:t>
      </w:r>
      <w:r>
        <w:rPr>
          <w:color w:val="000000"/>
          <w:highlight w:val="white"/>
        </w:rPr>
        <w:tab/>
      </w:r>
      <w:r w:rsidRPr="00337F32">
        <w:rPr>
          <w:color w:val="000000"/>
          <w:highlight w:val="white"/>
        </w:rPr>
        <w:t>reflections on their education, competence and skills.</w:t>
      </w:r>
      <w:r w:rsidRPr="00337F32">
        <w:rPr>
          <w:color w:val="000000"/>
          <w:highlight w:val="white"/>
        </w:rPr>
        <w:t> </w:t>
      </w:r>
      <w:r w:rsidRPr="00337F32">
        <w:rPr>
          <w:i/>
          <w:color w:val="000000"/>
          <w:highlight w:val="white"/>
        </w:rPr>
        <w:t>Social Work Education</w:t>
      </w:r>
      <w:r w:rsidRPr="00337F32">
        <w:rPr>
          <w:color w:val="000000"/>
          <w:highlight w:val="white"/>
        </w:rPr>
        <w:t>, </w:t>
      </w:r>
      <w:r w:rsidRPr="00337F32">
        <w:rPr>
          <w:i/>
          <w:color w:val="000000"/>
          <w:highlight w:val="white"/>
        </w:rPr>
        <w:t>33</w:t>
      </w:r>
      <w:r w:rsidRPr="00337F32">
        <w:rPr>
          <w:color w:val="000000"/>
          <w:highlight w:val="white"/>
        </w:rPr>
        <w:t>(6), 704-</w:t>
      </w:r>
      <w:r>
        <w:rPr>
          <w:color w:val="000000"/>
          <w:highlight w:val="white"/>
        </w:rPr>
        <w:tab/>
      </w:r>
      <w:r w:rsidRPr="00337F32">
        <w:rPr>
          <w:color w:val="000000"/>
          <w:highlight w:val="white"/>
        </w:rPr>
        <w:t>717.</w:t>
      </w:r>
    </w:p>
    <w:p w:rsidR="00337F32" w:rsidRPr="00337F32" w:rsidP="00337F32" w14:paraId="268EA531" w14:textId="3469E385">
      <w:pPr>
        <w:pBdr>
          <w:top w:val="nil"/>
          <w:left w:val="nil"/>
          <w:bottom w:val="nil"/>
          <w:right w:val="nil"/>
          <w:between w:val="nil"/>
        </w:pBdr>
        <w:spacing w:line="480" w:lineRule="auto"/>
        <w:ind w:hanging="720"/>
        <w:rPr>
          <w:color w:val="000000"/>
        </w:rPr>
      </w:pPr>
      <w:r>
        <w:rPr>
          <w:color w:val="000000"/>
          <w:highlight w:val="white"/>
        </w:rPr>
        <w:tab/>
      </w:r>
      <w:r w:rsidRPr="00337F32">
        <w:rPr>
          <w:color w:val="000000"/>
          <w:highlight w:val="white"/>
        </w:rPr>
        <w:t>Turner, F. J. (2017). </w:t>
      </w:r>
      <w:r w:rsidRPr="00337F32">
        <w:rPr>
          <w:i/>
          <w:color w:val="000000"/>
          <w:highlight w:val="white"/>
        </w:rPr>
        <w:t>Social work treatment: Interlocking theoretical approaches</w:t>
      </w:r>
      <w:r w:rsidRPr="00337F32">
        <w:rPr>
          <w:color w:val="000000"/>
          <w:highlight w:val="white"/>
        </w:rPr>
        <w:t xml:space="preserve">. </w:t>
      </w:r>
      <w:r w:rsidRPr="00337F32">
        <w:rPr>
          <w:color w:val="000000"/>
          <w:highlight w:val="white"/>
        </w:rPr>
        <w:t xml:space="preserve">Oxford </w:t>
      </w:r>
      <w:r>
        <w:rPr>
          <w:color w:val="000000"/>
          <w:highlight w:val="white"/>
        </w:rPr>
        <w:tab/>
      </w:r>
      <w:r w:rsidRPr="00337F32">
        <w:rPr>
          <w:color w:val="000000"/>
          <w:highlight w:val="white"/>
        </w:rPr>
        <w:t>University Press.</w:t>
      </w:r>
    </w:p>
    <w:p w:rsidR="00337F32" w:rsidRPr="00337F32" w:rsidP="00337F32" w14:paraId="496409FD" w14:textId="017A54D5">
      <w:pPr>
        <w:pBdr>
          <w:top w:val="nil"/>
          <w:left w:val="nil"/>
          <w:bottom w:val="nil"/>
          <w:right w:val="nil"/>
          <w:between w:val="nil"/>
        </w:pBdr>
        <w:spacing w:line="480" w:lineRule="auto"/>
        <w:ind w:hanging="720"/>
        <w:rPr>
          <w:color w:val="000000"/>
          <w:highlight w:val="white"/>
        </w:rPr>
      </w:pPr>
      <w:r>
        <w:tab/>
      </w:r>
      <w:r w:rsidRPr="00337F32">
        <w:t>Wilke</w:t>
      </w:r>
      <w:r w:rsidRPr="00337F32">
        <w:t xml:space="preserve"> </w:t>
      </w:r>
      <w:r w:rsidRPr="00337F32">
        <w:t>D.,</w:t>
      </w:r>
      <w:r w:rsidRPr="00337F32">
        <w:t xml:space="preserve"> &amp; Vinton L. (2017). </w:t>
      </w:r>
      <w:r w:rsidRPr="00337F32">
        <w:t>UniveEVALUATION</w:t>
      </w:r>
      <w:r w:rsidRPr="00337F32">
        <w:t xml:space="preserve"> OF THE FIRST WEB-BASED </w:t>
      </w:r>
      <w:r>
        <w:tab/>
      </w:r>
      <w:r w:rsidRPr="00337F32">
        <w:t xml:space="preserve">ADVANCED STANDING </w:t>
      </w:r>
      <w:r w:rsidRPr="00337F32">
        <w:t>iVISW</w:t>
      </w:r>
      <w:r w:rsidRPr="00337F32">
        <w:t xml:space="preserve"> PROGRAM 4(5)1-17</w:t>
      </w:r>
    </w:p>
    <w:p w:rsidR="00337F32" w:rsidRPr="00337F32" w:rsidP="00337F32" w14:paraId="37184D6F" w14:textId="77777777">
      <w:pPr>
        <w:spacing w:line="480" w:lineRule="auto"/>
        <w:ind w:left="720" w:hanging="720"/>
      </w:pPr>
      <w:r w:rsidRPr="00337F32">
        <w:t xml:space="preserve">York, R., O. (2019). COMPARING THREE MODES OF INSTRUCTION IN A GRADUATE SOCIAL WORK PROGRAM: University of North Carolina, </w:t>
      </w:r>
      <w:r w:rsidRPr="00337F32">
        <w:t>Wiimington</w:t>
      </w:r>
      <w:r w:rsidRPr="00337F32">
        <w:t xml:space="preserve"> 7(3)1-17</w:t>
      </w:r>
    </w:p>
    <w:sectPr>
      <w:headerReference w:type="default" r:id="rId10"/>
      <w:footerReference w:type="default" r:id="rId1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Helvetica Neue">
    <w:altName w:val="Arial"/>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2240" w14:paraId="1D8348E9" w14:textId="77777777">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2240" w14:paraId="63F5B352" w14:textId="77777777">
    <w:pPr>
      <w:pBdr>
        <w:top w:val="nil"/>
        <w:left w:val="nil"/>
        <w:bottom w:val="nil"/>
        <w:right w:val="nil"/>
        <w:between w:val="nil"/>
      </w:pBdr>
      <w:tabs>
        <w:tab w:val="right" w:pos="9020"/>
      </w:tabs>
      <w:jc w:val="right"/>
      <w:rPr>
        <w:rFonts w:ascii="Helvetica Neue" w:eastAsia="Helvetica Neue" w:hAnsi="Helvetica Neue" w:cs="Helvetica Neue"/>
        <w:color w:val="000000"/>
      </w:rPr>
    </w:pPr>
    <w:r>
      <w:rPr>
        <w:rFonts w:ascii="Helvetica Neue" w:eastAsia="Helvetica Neue" w:hAnsi="Helvetica Neue" w:cs="Helvetica Neue"/>
      </w:rPr>
      <w:fldChar w:fldCharType="begin"/>
    </w:r>
    <w:r>
      <w:rPr>
        <w:rFonts w:ascii="Helvetica Neue" w:eastAsia="Helvetica Neue" w:hAnsi="Helvetica Neue" w:cs="Helvetica Neue"/>
      </w:rPr>
      <w:instrText>PAGE</w:instrText>
    </w:r>
    <w:r>
      <w:rPr>
        <w:rFonts w:ascii="Helvetica Neue" w:eastAsia="Helvetica Neue" w:hAnsi="Helvetica Neue" w:cs="Helvetica Neue"/>
      </w:rPr>
      <w:fldChar w:fldCharType="separate"/>
    </w:r>
    <w:r w:rsidR="0041749D">
      <w:rPr>
        <w:rFonts w:ascii="Helvetica Neue" w:eastAsia="Helvetica Neue" w:hAnsi="Helvetica Neue" w:cs="Helvetica Neue"/>
        <w:noProof/>
      </w:rPr>
      <w:t>13</w:t>
    </w:r>
    <w:r>
      <w:rPr>
        <w:rFonts w:ascii="Helvetica Neue" w:eastAsia="Helvetica Neue" w:hAnsi="Helvetica Neue" w:cs="Helvetica Neue"/>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A8C"/>
    <w:rsid w:val="0004113C"/>
    <w:rsid w:val="00062238"/>
    <w:rsid w:val="00091AAC"/>
    <w:rsid w:val="001535E5"/>
    <w:rsid w:val="0017673B"/>
    <w:rsid w:val="00191A8C"/>
    <w:rsid w:val="00201D54"/>
    <w:rsid w:val="00337F32"/>
    <w:rsid w:val="003440B1"/>
    <w:rsid w:val="00356E88"/>
    <w:rsid w:val="0041749D"/>
    <w:rsid w:val="00500E0C"/>
    <w:rsid w:val="005316FF"/>
    <w:rsid w:val="007C02A5"/>
    <w:rsid w:val="007D59FA"/>
    <w:rsid w:val="008265D2"/>
    <w:rsid w:val="00861E64"/>
    <w:rsid w:val="009405C7"/>
    <w:rsid w:val="00B0468C"/>
    <w:rsid w:val="00B274D1"/>
    <w:rsid w:val="00B71CC7"/>
    <w:rsid w:val="00C82AA2"/>
    <w:rsid w:val="00CC507B"/>
    <w:rsid w:val="00D322C8"/>
    <w:rsid w:val="00D467BC"/>
    <w:rsid w:val="00DF2240"/>
    <w:rsid w:val="00E71CCC"/>
  </w:rsids>
  <w:docVars>
    <w:docVar w:name="__Grammarly_42___1" w:val="H4sIAAAAAAAEAKtWcslP9kxRslIyNDYyMDA2NjQzM7cwNje3MLJU0lEKTi0uzszPAykwrAUAYvSluy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40" w:line="256" w:lineRule="auto"/>
      <w:outlineLvl w:val="1"/>
    </w:pPr>
    <w:rPr>
      <w:rFonts w:ascii="Calibri" w:eastAsia="Calibri" w:hAnsi="Calibri" w:cs="Calibri"/>
      <w:color w:val="2E74B5"/>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535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35E5"/>
    <w:rPr>
      <w:rFonts w:ascii="Segoe UI" w:hAnsi="Segoe UI" w:cs="Segoe UI"/>
      <w:sz w:val="18"/>
      <w:szCs w:val="18"/>
    </w:rPr>
  </w:style>
  <w:style w:type="character" w:styleId="Hyperlink">
    <w:name w:val="Hyperlink"/>
    <w:basedOn w:val="DefaultParagraphFont"/>
    <w:uiPriority w:val="99"/>
    <w:unhideWhenUsed/>
    <w:rsid w:val="00CC50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hyperlink" Target="https://onlinelearningconsortium.org/news_item/new-study-six-million-students-now-enrolled-distance-educa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23</Pages>
  <Words>5591</Words>
  <Characters>31869</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HUMPHREY VINBANTON</dc:creator>
  <cp:lastModifiedBy>User</cp:lastModifiedBy>
  <cp:revision>6</cp:revision>
  <dcterms:created xsi:type="dcterms:W3CDTF">2019-04-24T16:54:00Z</dcterms:created>
  <dcterms:modified xsi:type="dcterms:W3CDTF">2019-04-25T11:11:00Z</dcterms:modified>
</cp:coreProperties>
</file>